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476F6" w:rsidRDefault="00B476F6" w14:paraId="54B28118" w14:textId="77777777"/>
    <w:p w:rsidR="00B476F6" w:rsidRDefault="00B476F6" w14:paraId="5F0F606A" w14:textId="77777777"/>
    <w:p w:rsidR="00B476F6" w:rsidRDefault="00B476F6" w14:paraId="6BF2B585" w14:textId="77777777"/>
    <w:p w:rsidR="00C21F20" w:rsidRDefault="00C21F20" w14:paraId="592AA88D" w14:textId="77777777"/>
    <w:p w:rsidRPr="00C21F20" w:rsidR="00CB5E94" w:rsidRDefault="00F41FBA" w14:paraId="5490FF2A" w14:textId="0F92CBD5">
      <w:pPr>
        <w:rPr>
          <w:b/>
          <w:color w:val="2D2F43"/>
        </w:rPr>
      </w:pPr>
      <w:r w:rsidRPr="00C21F20">
        <w:rPr>
          <w:b/>
          <w:noProof/>
          <w:color w:val="2D2F43"/>
          <w:lang w:eastAsia="en-GB"/>
        </w:rPr>
        <w:drawing>
          <wp:anchor distT="0" distB="0" distL="114300" distR="114300" simplePos="0" relativeHeight="251658240" behindDoc="0" locked="0" layoutInCell="1" allowOverlap="1" wp14:anchorId="358F7E2E" wp14:editId="5CE889DE">
            <wp:simplePos x="0" y="0"/>
            <wp:positionH relativeFrom="margin">
              <wp:align>center</wp:align>
            </wp:positionH>
            <wp:positionV relativeFrom="page">
              <wp:posOffset>561975</wp:posOffset>
            </wp:positionV>
            <wp:extent cx="3599815" cy="676275"/>
            <wp:effectExtent l="0" t="0" r="635" b="9525"/>
            <wp:wrapNone/>
            <wp:docPr id="1" name="Picture 1" descr="P:\Branding\2017-18\Logos\Digital Formats\Stacked\C_LOGO_STACKED_DARKBLUE_LIGHT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randing\2017-18\Logos\Digital Formats\Stacked\C_LOGO_STACKED_DARKBLUE_LIGHTBLU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9815" cy="676275"/>
                    </a:xfrm>
                    <a:prstGeom prst="rect">
                      <a:avLst/>
                    </a:prstGeom>
                    <a:noFill/>
                    <a:ln>
                      <a:noFill/>
                    </a:ln>
                  </pic:spPr>
                </pic:pic>
              </a:graphicData>
            </a:graphic>
          </wp:anchor>
        </w:drawing>
      </w:r>
      <w:r w:rsidR="00D87FA2">
        <w:rPr>
          <w:b/>
          <w:color w:val="2D2F43"/>
        </w:rPr>
        <w:t xml:space="preserve">GENDER PAY GAP STATEMENT </w:t>
      </w:r>
      <w:r w:rsidR="00201058">
        <w:rPr>
          <w:b/>
          <w:color w:val="2D2F43"/>
        </w:rPr>
        <w:t>20</w:t>
      </w:r>
      <w:r w:rsidR="005C1513">
        <w:rPr>
          <w:b/>
          <w:color w:val="2D2F43"/>
        </w:rPr>
        <w:t>2</w:t>
      </w:r>
      <w:r w:rsidR="00035187">
        <w:rPr>
          <w:b/>
          <w:color w:val="2D2F43"/>
        </w:rPr>
        <w:t>4</w:t>
      </w:r>
    </w:p>
    <w:p w:rsidRPr="00C21F20" w:rsidR="00352280" w:rsidRDefault="00352280" w14:paraId="5999D535" w14:textId="77777777">
      <w:pPr>
        <w:rPr>
          <w:color w:val="2D2F43"/>
        </w:rPr>
      </w:pPr>
    </w:p>
    <w:p w:rsidRPr="00C21F20" w:rsidR="00CB5E94" w:rsidP="00F92C90" w:rsidRDefault="00DE05F3" w14:paraId="7D95421E" w14:textId="796851A7">
      <w:pPr>
        <w:jc w:val="both"/>
        <w:rPr>
          <w:color w:val="2D2F43"/>
        </w:rPr>
      </w:pPr>
      <w:r w:rsidRPr="00C21F20">
        <w:rPr>
          <w:color w:val="2D2F43"/>
        </w:rPr>
        <w:t xml:space="preserve">Under the Equality Act 2010 (Gender Pay Gap Information) Regulations 2017 </w:t>
      </w:r>
      <w:r w:rsidR="00B13A10">
        <w:rPr>
          <w:color w:val="2D2F43"/>
        </w:rPr>
        <w:t>the Charity is</w:t>
      </w:r>
      <w:r w:rsidRPr="00C21F20">
        <w:rPr>
          <w:color w:val="2D2F43"/>
        </w:rPr>
        <w:t xml:space="preserve"> required to produce an annual Gender Pay Gap Report.</w:t>
      </w:r>
    </w:p>
    <w:p w:rsidRPr="00C21F20" w:rsidR="00DE05F3" w:rsidRDefault="00DE05F3" w14:paraId="6216805E" w14:textId="77777777">
      <w:pPr>
        <w:rPr>
          <w:color w:val="2D2F43"/>
        </w:rPr>
      </w:pPr>
    </w:p>
    <w:p w:rsidRPr="00C21F20" w:rsidR="00DE05F3" w:rsidP="00F92C90" w:rsidRDefault="00DE05F3" w14:paraId="14477F93" w14:textId="683103A0">
      <w:pPr>
        <w:jc w:val="both"/>
        <w:rPr>
          <w:color w:val="2D2F43"/>
        </w:rPr>
      </w:pPr>
      <w:r w:rsidRPr="00C21F20">
        <w:rPr>
          <w:color w:val="2D2F43"/>
        </w:rPr>
        <w:t xml:space="preserve">This involves carrying out six calculations that show the difference between the average earnings of men and women in the organisation.  We are required to publish the results on </w:t>
      </w:r>
      <w:r w:rsidR="00F92C90">
        <w:rPr>
          <w:color w:val="2D2F43"/>
        </w:rPr>
        <w:t>the</w:t>
      </w:r>
      <w:r w:rsidRPr="00C21F20">
        <w:rPr>
          <w:color w:val="2D2F43"/>
        </w:rPr>
        <w:t xml:space="preserve"> government website </w:t>
      </w:r>
      <w:proofErr w:type="gramStart"/>
      <w:r w:rsidRPr="00C21F20">
        <w:rPr>
          <w:color w:val="2D2F43"/>
        </w:rPr>
        <w:t>and also</w:t>
      </w:r>
      <w:proofErr w:type="gramEnd"/>
      <w:r w:rsidRPr="00C21F20">
        <w:rPr>
          <w:color w:val="2D2F43"/>
        </w:rPr>
        <w:t xml:space="preserve"> on the College website;</w:t>
      </w:r>
      <w:r w:rsidR="00F92C90">
        <w:rPr>
          <w:color w:val="2D2F43"/>
        </w:rPr>
        <w:t xml:space="preserve"> </w:t>
      </w:r>
      <w:r w:rsidRPr="00C21F20">
        <w:rPr>
          <w:color w:val="2D2F43"/>
        </w:rPr>
        <w:t>it does not involve the publishing of individual employee data.</w:t>
      </w:r>
    </w:p>
    <w:p w:rsidRPr="00C21F20" w:rsidR="00CB5E94" w:rsidRDefault="00CB5E94" w14:paraId="15F5F3AF" w14:textId="77777777">
      <w:pPr>
        <w:rPr>
          <w:color w:val="2D2F43"/>
        </w:rPr>
      </w:pPr>
    </w:p>
    <w:p w:rsidRPr="00C21F20" w:rsidR="006F627D" w:rsidP="00F92C90" w:rsidRDefault="00DE05F3" w14:paraId="17924CC7" w14:textId="6A1C6189">
      <w:pPr>
        <w:jc w:val="both"/>
        <w:rPr>
          <w:color w:val="2D2F43"/>
        </w:rPr>
      </w:pPr>
      <w:r w:rsidRPr="00C21F20">
        <w:rPr>
          <w:color w:val="2D2F43"/>
        </w:rPr>
        <w:t>Gender Pay Gap Reporting requires the C</w:t>
      </w:r>
      <w:r w:rsidR="00B13A10">
        <w:rPr>
          <w:color w:val="2D2F43"/>
        </w:rPr>
        <w:t>harity</w:t>
      </w:r>
      <w:r w:rsidRPr="00C21F20">
        <w:rPr>
          <w:color w:val="2D2F43"/>
        </w:rPr>
        <w:t xml:space="preserve"> to make the calculations based on employee gender.  To establish this, we have used our e</w:t>
      </w:r>
      <w:r w:rsidRPr="00C21F20" w:rsidR="006F627D">
        <w:rPr>
          <w:color w:val="2D2F43"/>
        </w:rPr>
        <w:t>xisting HR and payroll records as at the ‘</w:t>
      </w:r>
      <w:proofErr w:type="gramStart"/>
      <w:r w:rsidRPr="00C21F20" w:rsidR="006F627D">
        <w:rPr>
          <w:color w:val="2D2F43"/>
        </w:rPr>
        <w:t>snap-shot</w:t>
      </w:r>
      <w:proofErr w:type="gramEnd"/>
      <w:r w:rsidRPr="00C21F20" w:rsidR="006F627D">
        <w:rPr>
          <w:color w:val="2D2F43"/>
        </w:rPr>
        <w:t>’ date</w:t>
      </w:r>
      <w:r w:rsidR="005D66A1">
        <w:rPr>
          <w:color w:val="2D2F43"/>
        </w:rPr>
        <w:t xml:space="preserve"> of</w:t>
      </w:r>
      <w:r w:rsidRPr="00C21F20" w:rsidR="006F627D">
        <w:rPr>
          <w:color w:val="2D2F43"/>
        </w:rPr>
        <w:t xml:space="preserve"> 5</w:t>
      </w:r>
      <w:r w:rsidRPr="00C21F20" w:rsidR="006F627D">
        <w:rPr>
          <w:color w:val="2D2F43"/>
          <w:vertAlign w:val="superscript"/>
        </w:rPr>
        <w:t>th</w:t>
      </w:r>
      <w:r w:rsidR="00D87FA2">
        <w:rPr>
          <w:color w:val="2D2F43"/>
        </w:rPr>
        <w:t xml:space="preserve"> April 20</w:t>
      </w:r>
      <w:r w:rsidR="00B94FFD">
        <w:rPr>
          <w:color w:val="2D2F43"/>
        </w:rPr>
        <w:t>2</w:t>
      </w:r>
      <w:r w:rsidR="00906D27">
        <w:rPr>
          <w:color w:val="2D2F43"/>
        </w:rPr>
        <w:t>4</w:t>
      </w:r>
      <w:r w:rsidRPr="00C21F20" w:rsidR="006F627D">
        <w:rPr>
          <w:color w:val="2D2F43"/>
        </w:rPr>
        <w:t>.</w:t>
      </w:r>
    </w:p>
    <w:p w:rsidRPr="00C21F20" w:rsidR="006F627D" w:rsidRDefault="006F627D" w14:paraId="62983DB7" w14:textId="77777777">
      <w:pPr>
        <w:rPr>
          <w:color w:val="2D2F43"/>
        </w:rPr>
      </w:pPr>
    </w:p>
    <w:p w:rsidRPr="00C21F20" w:rsidR="006F627D" w:rsidRDefault="00C21F20" w14:paraId="05848401" w14:textId="77777777">
      <w:pPr>
        <w:rPr>
          <w:b/>
          <w:color w:val="2D2F43"/>
        </w:rPr>
      </w:pPr>
      <w:r>
        <w:rPr>
          <w:b/>
          <w:color w:val="2D2F43"/>
        </w:rPr>
        <w:t>Mean Gender Pay Gap</w:t>
      </w:r>
    </w:p>
    <w:p w:rsidRPr="00C21F20" w:rsidR="006F627D" w:rsidRDefault="006F627D" w14:paraId="47C8CAC4" w14:textId="77777777">
      <w:pPr>
        <w:rPr>
          <w:color w:val="2D2F43"/>
        </w:rPr>
      </w:pPr>
    </w:p>
    <w:p w:rsidRPr="00C21F20" w:rsidR="00DE05F3" w:rsidRDefault="006F627D" w14:paraId="7D17A814" w14:textId="77777777">
      <w:pPr>
        <w:rPr>
          <w:color w:val="2D2F43"/>
        </w:rPr>
      </w:pPr>
      <w:r w:rsidRPr="00C21F20">
        <w:rPr>
          <w:color w:val="2D2F43"/>
        </w:rPr>
        <w:t>This calculation shows the difference between the mean hourly rate of pay that male and female full-pay relevant employees receive.</w:t>
      </w:r>
      <w:r w:rsidRPr="00C21F20" w:rsidR="00DE05F3">
        <w:rPr>
          <w:color w:val="2D2F43"/>
        </w:rPr>
        <w:t xml:space="preserve"> </w:t>
      </w:r>
    </w:p>
    <w:p w:rsidRPr="00C21F20" w:rsidR="006F627D" w:rsidRDefault="006F627D" w14:paraId="0F97F02B" w14:textId="77777777">
      <w:pPr>
        <w:rPr>
          <w:color w:val="2D2F43"/>
        </w:rPr>
      </w:pPr>
    </w:p>
    <w:p w:rsidRPr="00C21F20" w:rsidR="006F627D" w:rsidRDefault="00645104" w14:paraId="52E5607C" w14:textId="3E5E0B94">
      <w:pPr>
        <w:rPr>
          <w:color w:val="2D2F43"/>
        </w:rPr>
      </w:pPr>
      <w:r>
        <w:rPr>
          <w:color w:val="2D2F43"/>
        </w:rPr>
        <w:t xml:space="preserve">As </w:t>
      </w:r>
      <w:proofErr w:type="gramStart"/>
      <w:r>
        <w:rPr>
          <w:color w:val="2D2F43"/>
        </w:rPr>
        <w:t>at</w:t>
      </w:r>
      <w:proofErr w:type="gramEnd"/>
      <w:r>
        <w:rPr>
          <w:color w:val="2D2F43"/>
        </w:rPr>
        <w:t xml:space="preserve"> 5</w:t>
      </w:r>
      <w:r w:rsidRPr="00645104">
        <w:rPr>
          <w:color w:val="2D2F43"/>
          <w:vertAlign w:val="superscript"/>
        </w:rPr>
        <w:t>th</w:t>
      </w:r>
      <w:r>
        <w:rPr>
          <w:color w:val="2D2F43"/>
        </w:rPr>
        <w:t xml:space="preserve"> April 202</w:t>
      </w:r>
      <w:r w:rsidR="00906D27">
        <w:rPr>
          <w:color w:val="2D2F43"/>
        </w:rPr>
        <w:t>4</w:t>
      </w:r>
      <w:r>
        <w:rPr>
          <w:color w:val="2D2F43"/>
        </w:rPr>
        <w:t xml:space="preserve"> </w:t>
      </w:r>
      <w:r w:rsidRPr="485BB8C7" w:rsidR="006F627D">
        <w:rPr>
          <w:color w:val="2D2F43"/>
        </w:rPr>
        <w:t xml:space="preserve">- on </w:t>
      </w:r>
      <w:r w:rsidRPr="00E032DC" w:rsidR="006F627D">
        <w:rPr>
          <w:color w:val="2D2F43"/>
        </w:rPr>
        <w:t xml:space="preserve">average our female employees </w:t>
      </w:r>
      <w:r w:rsidRPr="00E032DC" w:rsidR="00FB3E66">
        <w:rPr>
          <w:color w:val="2D2F43"/>
        </w:rPr>
        <w:t>we</w:t>
      </w:r>
      <w:r w:rsidRPr="00E032DC" w:rsidR="006F627D">
        <w:rPr>
          <w:color w:val="2D2F43"/>
        </w:rPr>
        <w:t xml:space="preserve">re paid </w:t>
      </w:r>
      <w:r w:rsidRPr="00E032DC" w:rsidR="00AC024A">
        <w:rPr>
          <w:color w:val="2D2F43"/>
        </w:rPr>
        <w:t>1</w:t>
      </w:r>
      <w:r w:rsidR="00FC02F2">
        <w:rPr>
          <w:color w:val="2D2F43"/>
        </w:rPr>
        <w:t>6</w:t>
      </w:r>
      <w:r w:rsidRPr="00E032DC" w:rsidR="008C707E">
        <w:rPr>
          <w:color w:val="2D2F43"/>
        </w:rPr>
        <w:t>.</w:t>
      </w:r>
      <w:r w:rsidR="00FC02F2">
        <w:rPr>
          <w:color w:val="2D2F43"/>
        </w:rPr>
        <w:t>68</w:t>
      </w:r>
      <w:r w:rsidRPr="00E032DC" w:rsidR="006F627D">
        <w:rPr>
          <w:color w:val="2D2F43"/>
        </w:rPr>
        <w:t>% less per hour than our male employees.</w:t>
      </w:r>
    </w:p>
    <w:p w:rsidR="006F627D" w:rsidRDefault="006F627D" w14:paraId="44B35E19" w14:textId="77777777">
      <w:pPr>
        <w:rPr>
          <w:color w:val="2D2F43"/>
        </w:rPr>
      </w:pPr>
    </w:p>
    <w:p w:rsidRPr="00C21F20" w:rsidR="00FC3ED6" w:rsidP="00FC3ED6" w:rsidRDefault="00FC3ED6" w14:paraId="302DB1E3" w14:textId="67A0A77F">
      <w:pPr>
        <w:rPr>
          <w:color w:val="2D2F43"/>
        </w:rPr>
      </w:pPr>
      <w:r>
        <w:rPr>
          <w:color w:val="2D2F43"/>
        </w:rPr>
        <w:t xml:space="preserve">As </w:t>
      </w:r>
      <w:proofErr w:type="gramStart"/>
      <w:r>
        <w:rPr>
          <w:color w:val="2D2F43"/>
        </w:rPr>
        <w:t>at</w:t>
      </w:r>
      <w:proofErr w:type="gramEnd"/>
      <w:r>
        <w:rPr>
          <w:color w:val="2D2F43"/>
        </w:rPr>
        <w:t xml:space="preserve"> 5</w:t>
      </w:r>
      <w:r w:rsidRPr="00FC3ED6">
        <w:rPr>
          <w:color w:val="2D2F43"/>
          <w:vertAlign w:val="superscript"/>
        </w:rPr>
        <w:t>th</w:t>
      </w:r>
      <w:r>
        <w:rPr>
          <w:color w:val="2D2F43"/>
        </w:rPr>
        <w:t xml:space="preserve"> April 20</w:t>
      </w:r>
      <w:r w:rsidR="005C1513">
        <w:rPr>
          <w:color w:val="2D2F43"/>
        </w:rPr>
        <w:t>2</w:t>
      </w:r>
      <w:r w:rsidR="00906D27">
        <w:rPr>
          <w:color w:val="2D2F43"/>
        </w:rPr>
        <w:t xml:space="preserve">3 </w:t>
      </w:r>
      <w:r>
        <w:rPr>
          <w:color w:val="2D2F43"/>
        </w:rPr>
        <w:t xml:space="preserve">- </w:t>
      </w:r>
      <w:r w:rsidRPr="00C21F20">
        <w:rPr>
          <w:color w:val="2D2F43"/>
        </w:rPr>
        <w:t xml:space="preserve">on average our female employees </w:t>
      </w:r>
      <w:r>
        <w:rPr>
          <w:color w:val="2D2F43"/>
        </w:rPr>
        <w:t>were</w:t>
      </w:r>
      <w:r w:rsidRPr="00C21F20">
        <w:rPr>
          <w:color w:val="2D2F43"/>
        </w:rPr>
        <w:t xml:space="preserve"> paid </w:t>
      </w:r>
      <w:r w:rsidR="00906D27">
        <w:rPr>
          <w:color w:val="2D2F43"/>
        </w:rPr>
        <w:t>17</w:t>
      </w:r>
      <w:r w:rsidR="001F660F">
        <w:rPr>
          <w:color w:val="2D2F43"/>
        </w:rPr>
        <w:t>.</w:t>
      </w:r>
      <w:r w:rsidR="00906D27">
        <w:rPr>
          <w:color w:val="2D2F43"/>
        </w:rPr>
        <w:t>55</w:t>
      </w:r>
      <w:r w:rsidRPr="00C21F20">
        <w:rPr>
          <w:color w:val="2D2F43"/>
        </w:rPr>
        <w:t>% less per hour than our male employees.</w:t>
      </w:r>
    </w:p>
    <w:p w:rsidRPr="00C21F20" w:rsidR="00FC3ED6" w:rsidRDefault="00FC3ED6" w14:paraId="640E0BE8" w14:textId="77777777">
      <w:pPr>
        <w:rPr>
          <w:color w:val="2D2F43"/>
        </w:rPr>
      </w:pPr>
    </w:p>
    <w:p w:rsidRPr="00C21F20" w:rsidR="006F627D" w:rsidRDefault="00C21F20" w14:paraId="09EBB733" w14:textId="77777777">
      <w:pPr>
        <w:rPr>
          <w:b/>
          <w:color w:val="2D2F43"/>
        </w:rPr>
      </w:pPr>
      <w:r w:rsidRPr="00C21F20">
        <w:rPr>
          <w:b/>
          <w:color w:val="2D2F43"/>
        </w:rPr>
        <w:t>Median Gender Pay Gap</w:t>
      </w:r>
    </w:p>
    <w:p w:rsidRPr="00C21F20" w:rsidR="006F627D" w:rsidRDefault="006F627D" w14:paraId="32DFD2EE" w14:textId="77777777">
      <w:pPr>
        <w:rPr>
          <w:color w:val="2D2F43"/>
        </w:rPr>
      </w:pPr>
    </w:p>
    <w:p w:rsidRPr="00C21F20" w:rsidR="006F627D" w:rsidRDefault="006F627D" w14:paraId="4FABBF2A" w14:textId="77777777">
      <w:pPr>
        <w:rPr>
          <w:color w:val="2D2F43"/>
        </w:rPr>
      </w:pPr>
      <w:r w:rsidRPr="00C21F20">
        <w:rPr>
          <w:color w:val="2D2F43"/>
        </w:rPr>
        <w:t xml:space="preserve">This calculation shows the difference between the median hourly </w:t>
      </w:r>
      <w:r w:rsidRPr="00C21F20" w:rsidR="001F5EEC">
        <w:rPr>
          <w:color w:val="2D2F43"/>
        </w:rPr>
        <w:t>rates</w:t>
      </w:r>
      <w:r w:rsidRPr="00C21F20">
        <w:rPr>
          <w:color w:val="2D2F43"/>
        </w:rPr>
        <w:t xml:space="preserve"> of pay that male and female full-pay relevant employees receive.</w:t>
      </w:r>
    </w:p>
    <w:p w:rsidRPr="00C21F20" w:rsidR="006F627D" w:rsidRDefault="006F627D" w14:paraId="0AD18BC6" w14:textId="77777777">
      <w:pPr>
        <w:rPr>
          <w:color w:val="2D2F43"/>
        </w:rPr>
      </w:pPr>
    </w:p>
    <w:p w:rsidR="006F627D" w:rsidRDefault="0080450F" w14:paraId="23EBD26B" w14:textId="4C6FDE04">
      <w:pPr>
        <w:rPr>
          <w:color w:val="2D2F43"/>
        </w:rPr>
      </w:pPr>
      <w:r>
        <w:rPr>
          <w:color w:val="2D2F43"/>
        </w:rPr>
        <w:t xml:space="preserve">As </w:t>
      </w:r>
      <w:proofErr w:type="gramStart"/>
      <w:r>
        <w:rPr>
          <w:color w:val="2D2F43"/>
        </w:rPr>
        <w:t>at</w:t>
      </w:r>
      <w:proofErr w:type="gramEnd"/>
      <w:r>
        <w:rPr>
          <w:color w:val="2D2F43"/>
        </w:rPr>
        <w:t xml:space="preserve"> 5</w:t>
      </w:r>
      <w:r w:rsidRPr="00645104">
        <w:rPr>
          <w:color w:val="2D2F43"/>
          <w:vertAlign w:val="superscript"/>
        </w:rPr>
        <w:t>th</w:t>
      </w:r>
      <w:r>
        <w:rPr>
          <w:color w:val="2D2F43"/>
        </w:rPr>
        <w:t xml:space="preserve"> April 202</w:t>
      </w:r>
      <w:r w:rsidR="00906D27">
        <w:rPr>
          <w:color w:val="2D2F43"/>
        </w:rPr>
        <w:t>4</w:t>
      </w:r>
      <w:r>
        <w:rPr>
          <w:color w:val="2D2F43"/>
        </w:rPr>
        <w:t xml:space="preserve"> </w:t>
      </w:r>
      <w:r w:rsidRPr="00C21F20" w:rsidR="006F627D">
        <w:rPr>
          <w:color w:val="2D2F43"/>
        </w:rPr>
        <w:t xml:space="preserve">- there </w:t>
      </w:r>
      <w:r>
        <w:rPr>
          <w:color w:val="2D2F43"/>
        </w:rPr>
        <w:t>was</w:t>
      </w:r>
      <w:r w:rsidRPr="00C21F20" w:rsidR="006F627D">
        <w:rPr>
          <w:color w:val="2D2F43"/>
        </w:rPr>
        <w:t xml:space="preserve"> a </w:t>
      </w:r>
      <w:r w:rsidRPr="00CF5A57" w:rsidR="006F627D">
        <w:rPr>
          <w:color w:val="2D2F43"/>
        </w:rPr>
        <w:t xml:space="preserve">difference of </w:t>
      </w:r>
      <w:r w:rsidR="00AD33C5">
        <w:rPr>
          <w:color w:val="2D2F43"/>
        </w:rPr>
        <w:t>31</w:t>
      </w:r>
      <w:r w:rsidRPr="00CF5A57" w:rsidR="00406ABD">
        <w:rPr>
          <w:color w:val="2D2F43"/>
        </w:rPr>
        <w:t>.</w:t>
      </w:r>
      <w:r w:rsidR="00FC02F2">
        <w:rPr>
          <w:color w:val="2D2F43"/>
        </w:rPr>
        <w:t>28</w:t>
      </w:r>
      <w:r w:rsidRPr="00CF5A57" w:rsidR="006F627D">
        <w:rPr>
          <w:color w:val="2D2F43"/>
        </w:rPr>
        <w:t>% between the mid</w:t>
      </w:r>
      <w:r w:rsidRPr="00C21F20" w:rsidR="006F627D">
        <w:rPr>
          <w:color w:val="2D2F43"/>
        </w:rPr>
        <w:t>-points of the distributions of male pay and female pay.</w:t>
      </w:r>
    </w:p>
    <w:p w:rsidR="00FC3ED6" w:rsidRDefault="00FC3ED6" w14:paraId="28F42226" w14:textId="77777777">
      <w:pPr>
        <w:rPr>
          <w:color w:val="2D2F43"/>
        </w:rPr>
      </w:pPr>
    </w:p>
    <w:p w:rsidRPr="00C21F20" w:rsidR="00FC3ED6" w:rsidP="00FC3ED6" w:rsidRDefault="00FC3ED6" w14:paraId="38CEC606" w14:textId="5A4209DD">
      <w:pPr>
        <w:rPr>
          <w:color w:val="2D2F43"/>
        </w:rPr>
      </w:pPr>
      <w:r>
        <w:rPr>
          <w:color w:val="2D2F43"/>
        </w:rPr>
        <w:t xml:space="preserve">As </w:t>
      </w:r>
      <w:proofErr w:type="gramStart"/>
      <w:r>
        <w:rPr>
          <w:color w:val="2D2F43"/>
        </w:rPr>
        <w:t>at</w:t>
      </w:r>
      <w:proofErr w:type="gramEnd"/>
      <w:r>
        <w:rPr>
          <w:color w:val="2D2F43"/>
        </w:rPr>
        <w:t xml:space="preserve"> 5</w:t>
      </w:r>
      <w:r w:rsidRPr="00FC3ED6">
        <w:rPr>
          <w:color w:val="2D2F43"/>
          <w:vertAlign w:val="superscript"/>
        </w:rPr>
        <w:t>th</w:t>
      </w:r>
      <w:r>
        <w:rPr>
          <w:color w:val="2D2F43"/>
        </w:rPr>
        <w:t xml:space="preserve"> April 20</w:t>
      </w:r>
      <w:r w:rsidR="005C1513">
        <w:rPr>
          <w:color w:val="2D2F43"/>
        </w:rPr>
        <w:t>2</w:t>
      </w:r>
      <w:r w:rsidR="00906D27">
        <w:rPr>
          <w:color w:val="2D2F43"/>
        </w:rPr>
        <w:t>3</w:t>
      </w:r>
      <w:r>
        <w:rPr>
          <w:color w:val="2D2F43"/>
        </w:rPr>
        <w:t xml:space="preserve"> - </w:t>
      </w:r>
      <w:r w:rsidRPr="00C21F20">
        <w:rPr>
          <w:color w:val="2D2F43"/>
        </w:rPr>
        <w:t xml:space="preserve">there </w:t>
      </w:r>
      <w:r>
        <w:rPr>
          <w:color w:val="2D2F43"/>
        </w:rPr>
        <w:t>was a</w:t>
      </w:r>
      <w:r w:rsidRPr="00C21F20">
        <w:rPr>
          <w:color w:val="2D2F43"/>
        </w:rPr>
        <w:t xml:space="preserve"> difference of </w:t>
      </w:r>
      <w:r w:rsidR="008C707E">
        <w:rPr>
          <w:color w:val="2D2F43"/>
        </w:rPr>
        <w:t>3</w:t>
      </w:r>
      <w:r w:rsidR="00906D27">
        <w:rPr>
          <w:color w:val="2D2F43"/>
        </w:rPr>
        <w:t>7</w:t>
      </w:r>
      <w:r w:rsidR="008C707E">
        <w:rPr>
          <w:color w:val="2D2F43"/>
        </w:rPr>
        <w:t>.</w:t>
      </w:r>
      <w:r w:rsidR="00906D27">
        <w:rPr>
          <w:color w:val="2D2F43"/>
        </w:rPr>
        <w:t>27</w:t>
      </w:r>
      <w:r w:rsidRPr="00C21F20">
        <w:rPr>
          <w:color w:val="2D2F43"/>
        </w:rPr>
        <w:t>% between the mid-points of the distributions of male pay and female pay.</w:t>
      </w:r>
    </w:p>
    <w:p w:rsidRPr="00C21F20" w:rsidR="00CB5E94" w:rsidRDefault="00CB5E94" w14:paraId="6F8FB330" w14:textId="77777777">
      <w:pPr>
        <w:rPr>
          <w:color w:val="2D2F43"/>
        </w:rPr>
      </w:pPr>
    </w:p>
    <w:p w:rsidRPr="00C21F20" w:rsidR="00242574" w:rsidRDefault="00242574" w14:paraId="76DA1E90" w14:textId="77777777">
      <w:pPr>
        <w:rPr>
          <w:b/>
          <w:color w:val="2D2F43"/>
        </w:rPr>
      </w:pPr>
      <w:r w:rsidRPr="00C21F20">
        <w:rPr>
          <w:b/>
          <w:color w:val="2D2F43"/>
        </w:rPr>
        <w:t>M</w:t>
      </w:r>
      <w:r w:rsidR="00C21F20">
        <w:rPr>
          <w:b/>
          <w:color w:val="2D2F43"/>
        </w:rPr>
        <w:t>ean</w:t>
      </w:r>
      <w:r w:rsidRPr="00C21F20">
        <w:rPr>
          <w:b/>
          <w:color w:val="2D2F43"/>
        </w:rPr>
        <w:t>/M</w:t>
      </w:r>
      <w:r w:rsidR="00C21F20">
        <w:rPr>
          <w:b/>
          <w:color w:val="2D2F43"/>
        </w:rPr>
        <w:t>edian</w:t>
      </w:r>
      <w:r w:rsidRPr="00C21F20">
        <w:rPr>
          <w:b/>
          <w:color w:val="2D2F43"/>
        </w:rPr>
        <w:t xml:space="preserve"> </w:t>
      </w:r>
      <w:r w:rsidR="00C21F20">
        <w:rPr>
          <w:b/>
          <w:color w:val="2D2F43"/>
        </w:rPr>
        <w:t>Bonus Gender Pay Gap</w:t>
      </w:r>
    </w:p>
    <w:p w:rsidRPr="00C21F20" w:rsidR="00242574" w:rsidRDefault="00242574" w14:paraId="28D36A55" w14:textId="77777777">
      <w:pPr>
        <w:rPr>
          <w:color w:val="2D2F43"/>
        </w:rPr>
      </w:pPr>
    </w:p>
    <w:p w:rsidRPr="00C21F20" w:rsidR="00D722F6" w:rsidP="00D722F6" w:rsidRDefault="00242574" w14:paraId="076F5398" w14:textId="58C22F21">
      <w:pPr>
        <w:rPr>
          <w:color w:val="2D2F43"/>
        </w:rPr>
      </w:pPr>
      <w:r w:rsidRPr="00C21F20">
        <w:rPr>
          <w:color w:val="2D2F43"/>
        </w:rPr>
        <w:t>These calculations show the difference between bonus pay that male and female relevant employees receive.</w:t>
      </w:r>
      <w:r w:rsidR="00CF15DF">
        <w:rPr>
          <w:color w:val="2D2F43"/>
        </w:rPr>
        <w:t xml:space="preserve"> </w:t>
      </w:r>
      <w:r w:rsidR="00306E78">
        <w:rPr>
          <w:color w:val="2D2F43"/>
        </w:rPr>
        <w:t xml:space="preserve">In 2024, on average the bonus payments made to our female </w:t>
      </w:r>
      <w:r w:rsidRPr="00813D48" w:rsidR="00306E78">
        <w:rPr>
          <w:color w:val="2D2F43"/>
        </w:rPr>
        <w:t>employees was</w:t>
      </w:r>
      <w:r w:rsidR="00306E78">
        <w:rPr>
          <w:color w:val="2D2F43"/>
        </w:rPr>
        <w:t xml:space="preserve"> the same as those paid to male employees. The median bonus pay was also the same for female and male employees.</w:t>
      </w:r>
    </w:p>
    <w:p w:rsidRPr="00C21F20" w:rsidR="00242574" w:rsidRDefault="00242574" w14:paraId="51A307A2" w14:textId="54E69A33">
      <w:pPr>
        <w:rPr>
          <w:color w:val="2D2F43"/>
        </w:rPr>
      </w:pPr>
    </w:p>
    <w:p w:rsidR="00242574" w:rsidRDefault="00B04EF1" w14:paraId="2AB47E46" w14:textId="46E8EC26">
      <w:pPr>
        <w:rPr>
          <w:color w:val="2D2F43"/>
        </w:rPr>
      </w:pPr>
      <w:r>
        <w:rPr>
          <w:color w:val="2D2F43"/>
        </w:rPr>
        <w:t xml:space="preserve">In </w:t>
      </w:r>
      <w:r w:rsidR="009E73B2">
        <w:rPr>
          <w:color w:val="2D2F43"/>
        </w:rPr>
        <w:t>202</w:t>
      </w:r>
      <w:r w:rsidR="00813D48">
        <w:rPr>
          <w:color w:val="2D2F43"/>
        </w:rPr>
        <w:t>3</w:t>
      </w:r>
      <w:r w:rsidR="009E73B2">
        <w:rPr>
          <w:color w:val="2D2F43"/>
        </w:rPr>
        <w:t xml:space="preserve">, </w:t>
      </w:r>
      <w:r w:rsidR="00813D48">
        <w:rPr>
          <w:color w:val="2D2F43"/>
        </w:rPr>
        <w:t xml:space="preserve">on average the bonus payments made to our female </w:t>
      </w:r>
      <w:r w:rsidRPr="00813D48" w:rsidR="00813D48">
        <w:rPr>
          <w:color w:val="2D2F43"/>
        </w:rPr>
        <w:t>employees was 66.67% higher than the bonus payments made to male employees. The median bonus pay was 100% higher</w:t>
      </w:r>
      <w:r w:rsidR="00813D48">
        <w:rPr>
          <w:color w:val="2D2F43"/>
        </w:rPr>
        <w:t xml:space="preserve"> for female employees.</w:t>
      </w:r>
    </w:p>
    <w:p w:rsidRPr="00C21F20" w:rsidR="00117617" w:rsidRDefault="00117617" w14:paraId="1F9582CF" w14:textId="77777777">
      <w:pPr>
        <w:rPr>
          <w:color w:val="2D2F43"/>
        </w:rPr>
      </w:pPr>
    </w:p>
    <w:p w:rsidRPr="00C21F20" w:rsidR="00242574" w:rsidRDefault="00242574" w14:paraId="695D0909" w14:textId="77777777">
      <w:pPr>
        <w:rPr>
          <w:color w:val="2D2F43"/>
        </w:rPr>
      </w:pPr>
    </w:p>
    <w:p w:rsidR="00D104DA" w:rsidRDefault="00D104DA" w14:paraId="51C46A57" w14:textId="77777777">
      <w:pPr>
        <w:rPr>
          <w:b/>
          <w:color w:val="2D2F43"/>
        </w:rPr>
      </w:pPr>
    </w:p>
    <w:p w:rsidRPr="00C21F20" w:rsidR="00242574" w:rsidRDefault="00C21F20" w14:paraId="313094A8" w14:textId="3531C7A2">
      <w:pPr>
        <w:rPr>
          <w:b/>
          <w:color w:val="2D2F43"/>
        </w:rPr>
      </w:pPr>
      <w:r w:rsidRPr="00C21F20">
        <w:rPr>
          <w:b/>
          <w:color w:val="2D2F43"/>
        </w:rPr>
        <w:t>Proportion of males and females receiving a bonus payment</w:t>
      </w:r>
    </w:p>
    <w:p w:rsidRPr="00C21F20" w:rsidR="00242574" w:rsidRDefault="00242574" w14:paraId="2FC3CA92" w14:textId="77777777">
      <w:pPr>
        <w:rPr>
          <w:color w:val="2D2F43"/>
        </w:rPr>
      </w:pPr>
    </w:p>
    <w:p w:rsidRPr="00C21F20" w:rsidR="00DE2030" w:rsidP="00DE2030" w:rsidRDefault="00242574" w14:paraId="20587F6B" w14:textId="34244977">
      <w:pPr>
        <w:rPr>
          <w:color w:val="2D2F43"/>
        </w:rPr>
      </w:pPr>
      <w:r w:rsidRPr="00C21F20">
        <w:rPr>
          <w:color w:val="2D2F43"/>
        </w:rPr>
        <w:t>This shows the proportion of male relevant employees who were paid any amount of bonus pay, and the proportion of female relevant employees who were paid any amount of bonus pay.</w:t>
      </w:r>
      <w:r w:rsidR="00E64D0D">
        <w:rPr>
          <w:color w:val="2D2F43"/>
        </w:rPr>
        <w:t xml:space="preserve"> </w:t>
      </w:r>
      <w:r w:rsidR="00DE2030">
        <w:rPr>
          <w:color w:val="2D2F43"/>
        </w:rPr>
        <w:t xml:space="preserve">In 2024, </w:t>
      </w:r>
      <w:r w:rsidRPr="00C21F20" w:rsidR="00DE2030">
        <w:rPr>
          <w:color w:val="2D2F43"/>
        </w:rPr>
        <w:t xml:space="preserve">the </w:t>
      </w:r>
      <w:r w:rsidRPr="00813D48" w:rsidR="00DE2030">
        <w:rPr>
          <w:color w:val="2D2F43"/>
        </w:rPr>
        <w:t xml:space="preserve">proportion of female relevant employees who were paid any amount of bonus pay. The calculation shows that </w:t>
      </w:r>
      <w:r w:rsidR="007F3725">
        <w:rPr>
          <w:color w:val="2D2F43"/>
        </w:rPr>
        <w:t>2</w:t>
      </w:r>
      <w:r w:rsidRPr="00813D48" w:rsidR="00DE2030">
        <w:rPr>
          <w:color w:val="2D2F43"/>
        </w:rPr>
        <w:t>.</w:t>
      </w:r>
      <w:r w:rsidR="007F3725">
        <w:rPr>
          <w:color w:val="2D2F43"/>
        </w:rPr>
        <w:t>36</w:t>
      </w:r>
      <w:r w:rsidRPr="00813D48" w:rsidR="00DE2030">
        <w:rPr>
          <w:color w:val="2D2F43"/>
        </w:rPr>
        <w:t xml:space="preserve">% of female employees received a bonus payment and </w:t>
      </w:r>
      <w:r w:rsidR="00276CEF">
        <w:rPr>
          <w:color w:val="2D2F43"/>
        </w:rPr>
        <w:t>3</w:t>
      </w:r>
      <w:r w:rsidRPr="00813D48" w:rsidR="00DE2030">
        <w:rPr>
          <w:color w:val="2D2F43"/>
        </w:rPr>
        <w:t>.</w:t>
      </w:r>
      <w:r w:rsidR="00276CEF">
        <w:rPr>
          <w:color w:val="2D2F43"/>
        </w:rPr>
        <w:t>17</w:t>
      </w:r>
      <w:r w:rsidRPr="00813D48" w:rsidR="00DE2030">
        <w:rPr>
          <w:color w:val="2D2F43"/>
        </w:rPr>
        <w:t>% of male employees received a bonus payment.</w:t>
      </w:r>
    </w:p>
    <w:p w:rsidRPr="00C21F20" w:rsidR="00242574" w:rsidRDefault="00242574" w14:paraId="619CD166" w14:textId="77777777">
      <w:pPr>
        <w:rPr>
          <w:color w:val="2D2F43"/>
        </w:rPr>
      </w:pPr>
    </w:p>
    <w:p w:rsidRPr="00C21F20" w:rsidR="00242574" w:rsidRDefault="00E64D0D" w14:paraId="581A2925" w14:textId="77661D4E">
      <w:pPr>
        <w:rPr>
          <w:color w:val="2D2F43"/>
        </w:rPr>
      </w:pPr>
      <w:r>
        <w:rPr>
          <w:color w:val="2D2F43"/>
        </w:rPr>
        <w:t>In 202</w:t>
      </w:r>
      <w:r w:rsidR="00813D48">
        <w:rPr>
          <w:color w:val="2D2F43"/>
        </w:rPr>
        <w:t>3</w:t>
      </w:r>
      <w:r>
        <w:rPr>
          <w:color w:val="2D2F43"/>
        </w:rPr>
        <w:t xml:space="preserve">, </w:t>
      </w:r>
      <w:r w:rsidR="00E30039">
        <w:rPr>
          <w:color w:val="2D2F43"/>
        </w:rPr>
        <w:t>t</w:t>
      </w:r>
      <w:r w:rsidRPr="00813D48" w:rsidR="00813D48">
        <w:rPr>
          <w:color w:val="2D2F43"/>
        </w:rPr>
        <w:t>he calculation shows that 1.09% of female employees received a bonus payment and 5.58% of male employees received a bonus payment.</w:t>
      </w:r>
    </w:p>
    <w:p w:rsidRPr="00C21F20" w:rsidR="00242574" w:rsidRDefault="00242574" w14:paraId="7EA94A47" w14:textId="77777777">
      <w:pPr>
        <w:rPr>
          <w:color w:val="2D2F43"/>
        </w:rPr>
      </w:pPr>
    </w:p>
    <w:p w:rsidRPr="00C21F20" w:rsidR="00242574" w:rsidRDefault="00C21F20" w14:paraId="3F937DD4" w14:textId="77777777">
      <w:pPr>
        <w:rPr>
          <w:b/>
          <w:color w:val="2D2F43"/>
        </w:rPr>
      </w:pPr>
      <w:r w:rsidRPr="00C21F20">
        <w:rPr>
          <w:b/>
          <w:color w:val="2D2F43"/>
        </w:rPr>
        <w:t>Proportion of relevant male and female employees in each quartile</w:t>
      </w:r>
    </w:p>
    <w:p w:rsidRPr="00C21F20" w:rsidR="00242574" w:rsidRDefault="00242574" w14:paraId="184F078F" w14:textId="77777777">
      <w:pPr>
        <w:rPr>
          <w:color w:val="2D2F43"/>
        </w:rPr>
      </w:pPr>
    </w:p>
    <w:p w:rsidRPr="00C21F20" w:rsidR="00242574" w:rsidRDefault="00242574" w14:paraId="2AE1AEC0" w14:textId="3B2EB948">
      <w:pPr>
        <w:rPr>
          <w:color w:val="2D2F43"/>
        </w:rPr>
      </w:pPr>
      <w:r w:rsidRPr="00C21F20">
        <w:rPr>
          <w:color w:val="2D2F43"/>
        </w:rPr>
        <w:t xml:space="preserve">This calculation shows the proportion of male and female full-pay relevant employees in four quartile pay bands, done by dividing the workforce into four equal parts.  </w:t>
      </w:r>
      <w:r w:rsidRPr="00C21F20" w:rsidR="005B6FA1">
        <w:rPr>
          <w:color w:val="2D2F43"/>
        </w:rPr>
        <w:t>The quartile</w:t>
      </w:r>
      <w:r w:rsidRPr="00C21F20">
        <w:rPr>
          <w:color w:val="2D2F43"/>
        </w:rPr>
        <w:t xml:space="preserve"> pay bands are established when making the calculations, any other pay banding</w:t>
      </w:r>
      <w:r w:rsidR="00DC7964">
        <w:rPr>
          <w:color w:val="2D2F43"/>
        </w:rPr>
        <w:t>s</w:t>
      </w:r>
      <w:r w:rsidRPr="00C21F20">
        <w:rPr>
          <w:color w:val="2D2F43"/>
        </w:rPr>
        <w:t xml:space="preserve"> used within the College are not used.</w:t>
      </w:r>
    </w:p>
    <w:p w:rsidRPr="00C21F20" w:rsidR="00242574" w:rsidRDefault="00242574" w14:paraId="2EF9BF43" w14:textId="77777777">
      <w:pPr>
        <w:rPr>
          <w:color w:val="2D2F43"/>
        </w:rPr>
      </w:pPr>
    </w:p>
    <w:tbl>
      <w:tblPr>
        <w:tblStyle w:val="GridTable1Light-Accent1"/>
        <w:tblW w:w="0" w:type="auto"/>
        <w:tblLook w:val="04A0" w:firstRow="1" w:lastRow="0" w:firstColumn="1" w:lastColumn="0" w:noHBand="0" w:noVBand="1"/>
      </w:tblPr>
      <w:tblGrid>
        <w:gridCol w:w="1349"/>
        <w:gridCol w:w="919"/>
        <w:gridCol w:w="920"/>
        <w:gridCol w:w="920"/>
        <w:gridCol w:w="920"/>
        <w:gridCol w:w="920"/>
        <w:gridCol w:w="922"/>
        <w:gridCol w:w="920"/>
        <w:gridCol w:w="916"/>
      </w:tblGrid>
      <w:tr w:rsidRPr="004803F9" w:rsidR="005B6FA1" w:rsidTr="54B4EBAD" w14:paraId="76E36CF8" w14:textId="77777777">
        <w:trPr>
          <w:cnfStyle w:val="100000000000" w:firstRow="1" w:lastRow="0" w:firstColumn="0" w:lastColumn="0" w:oddVBand="0" w:evenVBand="0" w:oddHBand="0"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1349" w:type="dxa"/>
            <w:tcMar/>
          </w:tcPr>
          <w:p w:rsidRPr="004803F9" w:rsidR="005B6FA1" w:rsidP="004803F9" w:rsidRDefault="005B6FA1" w14:paraId="3E2B3A11" w14:textId="77777777">
            <w:pPr>
              <w:rPr>
                <w:color w:val="2D2F43"/>
                <w:sz w:val="20"/>
                <w:szCs w:val="20"/>
              </w:rPr>
            </w:pPr>
          </w:p>
        </w:tc>
        <w:tc>
          <w:tcPr>
            <w:cnfStyle w:val="000000000000" w:firstRow="0" w:lastRow="0" w:firstColumn="0" w:lastColumn="0" w:oddVBand="0" w:evenVBand="0" w:oddHBand="0" w:evenHBand="0" w:firstRowFirstColumn="0" w:firstRowLastColumn="0" w:lastRowFirstColumn="0" w:lastRowLastColumn="0"/>
            <w:tcW w:w="919" w:type="dxa"/>
            <w:tcMar/>
          </w:tcPr>
          <w:p w:rsidRPr="00FE58F8" w:rsidR="005B6FA1" w:rsidP="004803F9" w:rsidRDefault="005B6FA1" w14:paraId="1B5F7804" w14:textId="77777777">
            <w:pPr>
              <w:jc w:val="center"/>
              <w:cnfStyle w:val="100000000000" w:firstRow="1" w:lastRow="0" w:firstColumn="0" w:lastColumn="0" w:oddVBand="0" w:evenVBand="0" w:oddHBand="0" w:evenHBand="0" w:firstRowFirstColumn="0" w:firstRowLastColumn="0" w:lastRowFirstColumn="0" w:lastRowLastColumn="0"/>
              <w:rPr>
                <w:color w:val="5B9BD5" w:themeColor="accent1"/>
                <w:sz w:val="20"/>
                <w:szCs w:val="20"/>
              </w:rPr>
            </w:pPr>
            <w:r w:rsidRPr="00FE58F8">
              <w:rPr>
                <w:color w:val="5B9BD5" w:themeColor="accent1"/>
                <w:sz w:val="20"/>
                <w:szCs w:val="20"/>
              </w:rPr>
              <w:t>Lower Quartile</w:t>
            </w:r>
          </w:p>
          <w:p w:rsidRPr="00FE58F8" w:rsidR="005B6FA1" w:rsidP="004803F9" w:rsidRDefault="00E15A16" w14:paraId="388C0320" w14:textId="2D8E494A">
            <w:pPr>
              <w:jc w:val="center"/>
              <w:cnfStyle w:val="100000000000" w:firstRow="1" w:lastRow="0" w:firstColumn="0" w:lastColumn="0" w:oddVBand="0" w:evenVBand="0" w:oddHBand="0" w:evenHBand="0" w:firstRowFirstColumn="0" w:firstRowLastColumn="0" w:lastRowFirstColumn="0" w:lastRowLastColumn="0"/>
              <w:rPr>
                <w:color w:val="5B9BD5" w:themeColor="accent1"/>
                <w:sz w:val="20"/>
                <w:szCs w:val="20"/>
              </w:rPr>
            </w:pPr>
            <w:r w:rsidRPr="00FE58F8">
              <w:rPr>
                <w:color w:val="5B9BD5" w:themeColor="accent1"/>
                <w:sz w:val="20"/>
                <w:szCs w:val="20"/>
              </w:rPr>
              <w:t>202</w:t>
            </w:r>
            <w:r w:rsidR="002815BF">
              <w:rPr>
                <w:color w:val="5B9BD5" w:themeColor="accent1"/>
                <w:sz w:val="20"/>
                <w:szCs w:val="20"/>
              </w:rPr>
              <w:t>3</w:t>
            </w:r>
          </w:p>
        </w:tc>
        <w:tc>
          <w:tcPr>
            <w:cnfStyle w:val="000000000000" w:firstRow="0" w:lastRow="0" w:firstColumn="0" w:lastColumn="0" w:oddVBand="0" w:evenVBand="0" w:oddHBand="0" w:evenHBand="0" w:firstRowFirstColumn="0" w:firstRowLastColumn="0" w:lastRowFirstColumn="0" w:lastRowLastColumn="0"/>
            <w:tcW w:w="920" w:type="dxa"/>
            <w:tcMar/>
          </w:tcPr>
          <w:p w:rsidRPr="00FE58F8" w:rsidR="005B6FA1" w:rsidP="004803F9" w:rsidRDefault="005B6FA1" w14:paraId="6E60BC03" w14:textId="77777777">
            <w:pPr>
              <w:jc w:val="center"/>
              <w:cnfStyle w:val="100000000000" w:firstRow="1" w:lastRow="0" w:firstColumn="0" w:lastColumn="0" w:oddVBand="0" w:evenVBand="0" w:oddHBand="0" w:evenHBand="0" w:firstRowFirstColumn="0" w:firstRowLastColumn="0" w:lastRowFirstColumn="0" w:lastRowLastColumn="0"/>
              <w:rPr>
                <w:sz w:val="20"/>
                <w:szCs w:val="20"/>
              </w:rPr>
            </w:pPr>
            <w:r w:rsidRPr="00FE58F8">
              <w:rPr>
                <w:sz w:val="20"/>
                <w:szCs w:val="20"/>
              </w:rPr>
              <w:t>Lower Quartile</w:t>
            </w:r>
          </w:p>
          <w:p w:rsidRPr="00FE58F8" w:rsidR="005B6FA1" w:rsidP="004803F9" w:rsidRDefault="00E15A16" w14:paraId="1019B3AE" w14:textId="19D3B3F5">
            <w:pPr>
              <w:jc w:val="center"/>
              <w:cnfStyle w:val="100000000000" w:firstRow="1" w:lastRow="0" w:firstColumn="0" w:lastColumn="0" w:oddVBand="0" w:evenVBand="0" w:oddHBand="0" w:evenHBand="0" w:firstRowFirstColumn="0" w:firstRowLastColumn="0" w:lastRowFirstColumn="0" w:lastRowLastColumn="0"/>
              <w:rPr>
                <w:sz w:val="20"/>
                <w:szCs w:val="20"/>
              </w:rPr>
            </w:pPr>
            <w:r w:rsidRPr="00FE58F8">
              <w:rPr>
                <w:sz w:val="20"/>
                <w:szCs w:val="20"/>
              </w:rPr>
              <w:t>202</w:t>
            </w:r>
            <w:r w:rsidR="002815BF">
              <w:rPr>
                <w:sz w:val="20"/>
                <w:szCs w:val="20"/>
              </w:rPr>
              <w:t>4</w:t>
            </w:r>
          </w:p>
        </w:tc>
        <w:tc>
          <w:tcPr>
            <w:cnfStyle w:val="000000000000" w:firstRow="0" w:lastRow="0" w:firstColumn="0" w:lastColumn="0" w:oddVBand="0" w:evenVBand="0" w:oddHBand="0" w:evenHBand="0" w:firstRowFirstColumn="0" w:firstRowLastColumn="0" w:lastRowFirstColumn="0" w:lastRowLastColumn="0"/>
            <w:tcW w:w="920" w:type="dxa"/>
            <w:tcMar/>
          </w:tcPr>
          <w:p w:rsidRPr="00FE58F8" w:rsidR="005B6FA1" w:rsidP="004803F9" w:rsidRDefault="005B6FA1" w14:paraId="450EE5F7" w14:textId="77777777">
            <w:pPr>
              <w:jc w:val="center"/>
              <w:cnfStyle w:val="100000000000" w:firstRow="1" w:lastRow="0" w:firstColumn="0" w:lastColumn="0" w:oddVBand="0" w:evenVBand="0" w:oddHBand="0" w:evenHBand="0" w:firstRowFirstColumn="0" w:firstRowLastColumn="0" w:lastRowFirstColumn="0" w:lastRowLastColumn="0"/>
              <w:rPr>
                <w:color w:val="5B9BD5" w:themeColor="accent1"/>
                <w:sz w:val="20"/>
                <w:szCs w:val="20"/>
              </w:rPr>
            </w:pPr>
            <w:r w:rsidRPr="00FE58F8">
              <w:rPr>
                <w:color w:val="5B9BD5" w:themeColor="accent1"/>
                <w:sz w:val="20"/>
                <w:szCs w:val="20"/>
              </w:rPr>
              <w:t>Lower Middle Quartile</w:t>
            </w:r>
          </w:p>
          <w:p w:rsidRPr="00FE58F8" w:rsidR="005B6FA1" w:rsidP="004803F9" w:rsidRDefault="00E15A16" w14:paraId="679900B5" w14:textId="47DD8E77">
            <w:pPr>
              <w:jc w:val="center"/>
              <w:cnfStyle w:val="100000000000" w:firstRow="1" w:lastRow="0" w:firstColumn="0" w:lastColumn="0" w:oddVBand="0" w:evenVBand="0" w:oddHBand="0" w:evenHBand="0" w:firstRowFirstColumn="0" w:firstRowLastColumn="0" w:lastRowFirstColumn="0" w:lastRowLastColumn="0"/>
              <w:rPr>
                <w:color w:val="5B9BD5" w:themeColor="accent1"/>
                <w:sz w:val="20"/>
                <w:szCs w:val="20"/>
              </w:rPr>
            </w:pPr>
            <w:r w:rsidRPr="00FE58F8">
              <w:rPr>
                <w:color w:val="5B9BD5" w:themeColor="accent1"/>
                <w:sz w:val="20"/>
                <w:szCs w:val="20"/>
              </w:rPr>
              <w:t>202</w:t>
            </w:r>
            <w:r w:rsidR="002815BF">
              <w:rPr>
                <w:color w:val="5B9BD5" w:themeColor="accent1"/>
                <w:sz w:val="20"/>
                <w:szCs w:val="20"/>
              </w:rPr>
              <w:t>3</w:t>
            </w:r>
          </w:p>
        </w:tc>
        <w:tc>
          <w:tcPr>
            <w:cnfStyle w:val="000000000000" w:firstRow="0" w:lastRow="0" w:firstColumn="0" w:lastColumn="0" w:oddVBand="0" w:evenVBand="0" w:oddHBand="0" w:evenHBand="0" w:firstRowFirstColumn="0" w:firstRowLastColumn="0" w:lastRowFirstColumn="0" w:lastRowLastColumn="0"/>
            <w:tcW w:w="920" w:type="dxa"/>
            <w:tcMar/>
          </w:tcPr>
          <w:p w:rsidRPr="00FE58F8" w:rsidR="005B6FA1" w:rsidP="004803F9" w:rsidRDefault="005B6FA1" w14:paraId="73BD00A2" w14:textId="77777777">
            <w:pPr>
              <w:jc w:val="center"/>
              <w:cnfStyle w:val="100000000000" w:firstRow="1" w:lastRow="0" w:firstColumn="0" w:lastColumn="0" w:oddVBand="0" w:evenVBand="0" w:oddHBand="0" w:evenHBand="0" w:firstRowFirstColumn="0" w:firstRowLastColumn="0" w:lastRowFirstColumn="0" w:lastRowLastColumn="0"/>
              <w:rPr>
                <w:sz w:val="20"/>
                <w:szCs w:val="20"/>
              </w:rPr>
            </w:pPr>
            <w:r w:rsidRPr="00FE58F8">
              <w:rPr>
                <w:sz w:val="20"/>
                <w:szCs w:val="20"/>
              </w:rPr>
              <w:t>Lower Middle Quartile</w:t>
            </w:r>
          </w:p>
          <w:p w:rsidRPr="00FE58F8" w:rsidR="005B6FA1" w:rsidP="004803F9" w:rsidRDefault="00E15A16" w14:paraId="34CE41BC" w14:textId="751E3FF6">
            <w:pPr>
              <w:jc w:val="center"/>
              <w:cnfStyle w:val="100000000000" w:firstRow="1" w:lastRow="0" w:firstColumn="0" w:lastColumn="0" w:oddVBand="0" w:evenVBand="0" w:oddHBand="0" w:evenHBand="0" w:firstRowFirstColumn="0" w:firstRowLastColumn="0" w:lastRowFirstColumn="0" w:lastRowLastColumn="0"/>
              <w:rPr>
                <w:sz w:val="20"/>
                <w:szCs w:val="20"/>
              </w:rPr>
            </w:pPr>
            <w:r w:rsidRPr="00FE58F8">
              <w:rPr>
                <w:sz w:val="20"/>
                <w:szCs w:val="20"/>
              </w:rPr>
              <w:t>202</w:t>
            </w:r>
            <w:r w:rsidR="002815BF">
              <w:rPr>
                <w:sz w:val="20"/>
                <w:szCs w:val="20"/>
              </w:rPr>
              <w:t>4</w:t>
            </w:r>
          </w:p>
        </w:tc>
        <w:tc>
          <w:tcPr>
            <w:cnfStyle w:val="000000000000" w:firstRow="0" w:lastRow="0" w:firstColumn="0" w:lastColumn="0" w:oddVBand="0" w:evenVBand="0" w:oddHBand="0" w:evenHBand="0" w:firstRowFirstColumn="0" w:firstRowLastColumn="0" w:lastRowFirstColumn="0" w:lastRowLastColumn="0"/>
            <w:tcW w:w="920" w:type="dxa"/>
            <w:tcMar/>
          </w:tcPr>
          <w:p w:rsidRPr="00FE58F8" w:rsidR="005B6FA1" w:rsidP="004803F9" w:rsidRDefault="005B6FA1" w14:paraId="67BC9EF0" w14:textId="77777777">
            <w:pPr>
              <w:jc w:val="center"/>
              <w:cnfStyle w:val="100000000000" w:firstRow="1" w:lastRow="0" w:firstColumn="0" w:lastColumn="0" w:oddVBand="0" w:evenVBand="0" w:oddHBand="0" w:evenHBand="0" w:firstRowFirstColumn="0" w:firstRowLastColumn="0" w:lastRowFirstColumn="0" w:lastRowLastColumn="0"/>
              <w:rPr>
                <w:color w:val="5B9BD5" w:themeColor="accent1"/>
                <w:sz w:val="20"/>
                <w:szCs w:val="20"/>
              </w:rPr>
            </w:pPr>
            <w:r w:rsidRPr="00FE58F8">
              <w:rPr>
                <w:color w:val="5B9BD5" w:themeColor="accent1"/>
                <w:sz w:val="20"/>
                <w:szCs w:val="20"/>
              </w:rPr>
              <w:t>Upper Middle Quartile</w:t>
            </w:r>
          </w:p>
          <w:p w:rsidRPr="00FE58F8" w:rsidR="005B6FA1" w:rsidP="004803F9" w:rsidRDefault="00E15A16" w14:paraId="4A2A4EA1" w14:textId="74C2CC28">
            <w:pPr>
              <w:jc w:val="center"/>
              <w:cnfStyle w:val="100000000000" w:firstRow="1" w:lastRow="0" w:firstColumn="0" w:lastColumn="0" w:oddVBand="0" w:evenVBand="0" w:oddHBand="0" w:evenHBand="0" w:firstRowFirstColumn="0" w:firstRowLastColumn="0" w:lastRowFirstColumn="0" w:lastRowLastColumn="0"/>
              <w:rPr>
                <w:color w:val="5B9BD5" w:themeColor="accent1"/>
                <w:sz w:val="20"/>
                <w:szCs w:val="20"/>
              </w:rPr>
            </w:pPr>
            <w:r w:rsidRPr="00FE58F8">
              <w:rPr>
                <w:color w:val="5B9BD5" w:themeColor="accent1"/>
                <w:sz w:val="20"/>
                <w:szCs w:val="20"/>
              </w:rPr>
              <w:t>202</w:t>
            </w:r>
            <w:r w:rsidR="002815BF">
              <w:rPr>
                <w:color w:val="5B9BD5" w:themeColor="accent1"/>
                <w:sz w:val="20"/>
                <w:szCs w:val="20"/>
              </w:rPr>
              <w:t>3</w:t>
            </w:r>
          </w:p>
        </w:tc>
        <w:tc>
          <w:tcPr>
            <w:cnfStyle w:val="000000000000" w:firstRow="0" w:lastRow="0" w:firstColumn="0" w:lastColumn="0" w:oddVBand="0" w:evenVBand="0" w:oddHBand="0" w:evenHBand="0" w:firstRowFirstColumn="0" w:firstRowLastColumn="0" w:lastRowFirstColumn="0" w:lastRowLastColumn="0"/>
            <w:tcW w:w="922" w:type="dxa"/>
            <w:tcMar/>
          </w:tcPr>
          <w:p w:rsidRPr="00FE58F8" w:rsidR="005B6FA1" w:rsidP="004803F9" w:rsidRDefault="005B6FA1" w14:paraId="5417507A" w14:textId="72D88154">
            <w:pPr>
              <w:jc w:val="center"/>
              <w:cnfStyle w:val="100000000000" w:firstRow="1" w:lastRow="0" w:firstColumn="0" w:lastColumn="0" w:oddVBand="0" w:evenVBand="0" w:oddHBand="0" w:evenHBand="0" w:firstRowFirstColumn="0" w:firstRowLastColumn="0" w:lastRowFirstColumn="0" w:lastRowLastColumn="0"/>
              <w:rPr>
                <w:sz w:val="20"/>
                <w:szCs w:val="20"/>
              </w:rPr>
            </w:pPr>
            <w:r w:rsidRPr="00FE58F8">
              <w:rPr>
                <w:sz w:val="20"/>
                <w:szCs w:val="20"/>
              </w:rPr>
              <w:t>Upper Middle Quartile</w:t>
            </w:r>
          </w:p>
          <w:p w:rsidRPr="00FE58F8" w:rsidR="005B6FA1" w:rsidP="004803F9" w:rsidRDefault="00E15A16" w14:paraId="1D7737EE" w14:textId="2931822D">
            <w:pPr>
              <w:jc w:val="center"/>
              <w:cnfStyle w:val="100000000000" w:firstRow="1" w:lastRow="0" w:firstColumn="0" w:lastColumn="0" w:oddVBand="0" w:evenVBand="0" w:oddHBand="0" w:evenHBand="0" w:firstRowFirstColumn="0" w:firstRowLastColumn="0" w:lastRowFirstColumn="0" w:lastRowLastColumn="0"/>
              <w:rPr>
                <w:sz w:val="20"/>
                <w:szCs w:val="20"/>
              </w:rPr>
            </w:pPr>
            <w:r w:rsidRPr="00FE58F8">
              <w:rPr>
                <w:sz w:val="20"/>
                <w:szCs w:val="20"/>
              </w:rPr>
              <w:t>202</w:t>
            </w:r>
            <w:r w:rsidR="002815BF">
              <w:rPr>
                <w:sz w:val="20"/>
                <w:szCs w:val="20"/>
              </w:rPr>
              <w:t>4</w:t>
            </w:r>
          </w:p>
        </w:tc>
        <w:tc>
          <w:tcPr>
            <w:cnfStyle w:val="000000000000" w:firstRow="0" w:lastRow="0" w:firstColumn="0" w:lastColumn="0" w:oddVBand="0" w:evenVBand="0" w:oddHBand="0" w:evenHBand="0" w:firstRowFirstColumn="0" w:firstRowLastColumn="0" w:lastRowFirstColumn="0" w:lastRowLastColumn="0"/>
            <w:tcW w:w="920" w:type="dxa"/>
            <w:tcMar/>
          </w:tcPr>
          <w:p w:rsidRPr="00FE58F8" w:rsidR="005B6FA1" w:rsidP="004803F9" w:rsidRDefault="005B6FA1" w14:paraId="01A9769D" w14:textId="77777777">
            <w:pPr>
              <w:jc w:val="center"/>
              <w:cnfStyle w:val="100000000000" w:firstRow="1" w:lastRow="0" w:firstColumn="0" w:lastColumn="0" w:oddVBand="0" w:evenVBand="0" w:oddHBand="0" w:evenHBand="0" w:firstRowFirstColumn="0" w:firstRowLastColumn="0" w:lastRowFirstColumn="0" w:lastRowLastColumn="0"/>
              <w:rPr>
                <w:color w:val="5B9BD5" w:themeColor="accent1"/>
                <w:sz w:val="20"/>
                <w:szCs w:val="20"/>
              </w:rPr>
            </w:pPr>
            <w:r w:rsidRPr="00FE58F8">
              <w:rPr>
                <w:color w:val="5B9BD5" w:themeColor="accent1"/>
                <w:sz w:val="20"/>
                <w:szCs w:val="20"/>
              </w:rPr>
              <w:t>Upper Quartile</w:t>
            </w:r>
          </w:p>
          <w:p w:rsidRPr="00FE58F8" w:rsidR="005B6FA1" w:rsidP="004803F9" w:rsidRDefault="00E15A16" w14:paraId="5D380DA5" w14:textId="71439338">
            <w:pPr>
              <w:jc w:val="center"/>
              <w:cnfStyle w:val="100000000000" w:firstRow="1" w:lastRow="0" w:firstColumn="0" w:lastColumn="0" w:oddVBand="0" w:evenVBand="0" w:oddHBand="0" w:evenHBand="0" w:firstRowFirstColumn="0" w:firstRowLastColumn="0" w:lastRowFirstColumn="0" w:lastRowLastColumn="0"/>
              <w:rPr>
                <w:color w:val="5B9BD5" w:themeColor="accent1"/>
                <w:sz w:val="20"/>
                <w:szCs w:val="20"/>
              </w:rPr>
            </w:pPr>
            <w:r w:rsidRPr="00FE58F8">
              <w:rPr>
                <w:color w:val="5B9BD5" w:themeColor="accent1"/>
                <w:sz w:val="20"/>
                <w:szCs w:val="20"/>
              </w:rPr>
              <w:t>202</w:t>
            </w:r>
            <w:r w:rsidR="002815BF">
              <w:rPr>
                <w:color w:val="5B9BD5" w:themeColor="accent1"/>
                <w:sz w:val="20"/>
                <w:szCs w:val="20"/>
              </w:rPr>
              <w:t>3</w:t>
            </w:r>
          </w:p>
        </w:tc>
        <w:tc>
          <w:tcPr>
            <w:cnfStyle w:val="000000000000" w:firstRow="0" w:lastRow="0" w:firstColumn="0" w:lastColumn="0" w:oddVBand="0" w:evenVBand="0" w:oddHBand="0" w:evenHBand="0" w:firstRowFirstColumn="0" w:firstRowLastColumn="0" w:lastRowFirstColumn="0" w:lastRowLastColumn="0"/>
            <w:tcW w:w="916" w:type="dxa"/>
            <w:tcMar/>
          </w:tcPr>
          <w:p w:rsidRPr="00FE58F8" w:rsidR="005B6FA1" w:rsidP="004803F9" w:rsidRDefault="005B6FA1" w14:paraId="4A705E04" w14:textId="77777777">
            <w:pPr>
              <w:jc w:val="center"/>
              <w:cnfStyle w:val="100000000000" w:firstRow="1" w:lastRow="0" w:firstColumn="0" w:lastColumn="0" w:oddVBand="0" w:evenVBand="0" w:oddHBand="0" w:evenHBand="0" w:firstRowFirstColumn="0" w:firstRowLastColumn="0" w:lastRowFirstColumn="0" w:lastRowLastColumn="0"/>
              <w:rPr>
                <w:sz w:val="20"/>
                <w:szCs w:val="20"/>
              </w:rPr>
            </w:pPr>
            <w:r w:rsidRPr="00FE58F8">
              <w:rPr>
                <w:sz w:val="20"/>
                <w:szCs w:val="20"/>
              </w:rPr>
              <w:t>Upper Quartile</w:t>
            </w:r>
          </w:p>
          <w:p w:rsidRPr="00FE58F8" w:rsidR="005B6FA1" w:rsidP="004803F9" w:rsidRDefault="00E15A16" w14:paraId="53D3940C" w14:textId="393A140A">
            <w:pPr>
              <w:jc w:val="center"/>
              <w:cnfStyle w:val="100000000000" w:firstRow="1" w:lastRow="0" w:firstColumn="0" w:lastColumn="0" w:oddVBand="0" w:evenVBand="0" w:oddHBand="0" w:evenHBand="0" w:firstRowFirstColumn="0" w:firstRowLastColumn="0" w:lastRowFirstColumn="0" w:lastRowLastColumn="0"/>
              <w:rPr>
                <w:sz w:val="20"/>
                <w:szCs w:val="20"/>
              </w:rPr>
            </w:pPr>
            <w:r w:rsidRPr="00FE58F8">
              <w:rPr>
                <w:sz w:val="20"/>
                <w:szCs w:val="20"/>
              </w:rPr>
              <w:t>202</w:t>
            </w:r>
            <w:r w:rsidR="002815BF">
              <w:rPr>
                <w:sz w:val="20"/>
                <w:szCs w:val="20"/>
              </w:rPr>
              <w:t>4</w:t>
            </w:r>
          </w:p>
        </w:tc>
      </w:tr>
      <w:tr w:rsidRPr="00C21F20" w:rsidR="00CF5A57" w:rsidTr="54B4EBAD" w14:paraId="43C905C8" w14:textId="77777777">
        <w:trPr>
          <w:trHeight w:val="520"/>
        </w:trPr>
        <w:tc>
          <w:tcPr>
            <w:cnfStyle w:val="001000000000" w:firstRow="0" w:lastRow="0" w:firstColumn="1" w:lastColumn="0" w:oddVBand="0" w:evenVBand="0" w:oddHBand="0" w:evenHBand="0" w:firstRowFirstColumn="0" w:firstRowLastColumn="0" w:lastRowFirstColumn="0" w:lastRowLastColumn="0"/>
            <w:tcW w:w="1349" w:type="dxa"/>
            <w:tcMar/>
          </w:tcPr>
          <w:p w:rsidRPr="00C21F20" w:rsidR="00CF5A57" w:rsidP="00CF5A57" w:rsidRDefault="00CF5A57" w14:paraId="0DD8536B" w14:textId="77777777">
            <w:pPr>
              <w:rPr>
                <w:color w:val="2D2F43"/>
              </w:rPr>
            </w:pPr>
            <w:r w:rsidRPr="00C21F20">
              <w:rPr>
                <w:color w:val="2D2F43"/>
              </w:rPr>
              <w:t>Percentage Male</w:t>
            </w:r>
          </w:p>
        </w:tc>
        <w:tc>
          <w:tcPr>
            <w:cnfStyle w:val="000000000000" w:firstRow="0" w:lastRow="0" w:firstColumn="0" w:lastColumn="0" w:oddVBand="0" w:evenVBand="0" w:oddHBand="0" w:evenHBand="0" w:firstRowFirstColumn="0" w:firstRowLastColumn="0" w:lastRowFirstColumn="0" w:lastRowLastColumn="0"/>
            <w:tcW w:w="919" w:type="dxa"/>
            <w:tcMar/>
          </w:tcPr>
          <w:p w:rsidRPr="001D0B24" w:rsidR="00CF5A57" w:rsidP="00CF5A57" w:rsidRDefault="00CF5A57" w14:paraId="3F04E3F2" w14:textId="5857EF32">
            <w:pPr>
              <w:jc w:val="center"/>
              <w:cnfStyle w:val="000000000000" w:firstRow="0" w:lastRow="0" w:firstColumn="0" w:lastColumn="0" w:oddVBand="0" w:evenVBand="0" w:oddHBand="0" w:evenHBand="0" w:firstRowFirstColumn="0" w:firstRowLastColumn="0" w:lastRowFirstColumn="0" w:lastRowLastColumn="0"/>
              <w:rPr>
                <w:color w:val="5B9BD5" w:themeColor="accent1"/>
                <w:highlight w:val="yellow"/>
              </w:rPr>
            </w:pPr>
            <w:r w:rsidRPr="00950F73">
              <w:t>21%</w:t>
            </w:r>
          </w:p>
        </w:tc>
        <w:tc>
          <w:tcPr>
            <w:cnfStyle w:val="000000000000" w:firstRow="0" w:lastRow="0" w:firstColumn="0" w:lastColumn="0" w:oddVBand="0" w:evenVBand="0" w:oddHBand="0" w:evenHBand="0" w:firstRowFirstColumn="0" w:firstRowLastColumn="0" w:lastRowFirstColumn="0" w:lastRowLastColumn="0"/>
            <w:tcW w:w="920" w:type="dxa"/>
            <w:tcMar/>
          </w:tcPr>
          <w:p w:rsidRPr="005D24A9" w:rsidR="00CF5A57" w:rsidP="00CF5A57" w:rsidRDefault="008B6100" w14:paraId="39A99DF8" w14:textId="58E0FDED">
            <w:pPr>
              <w:jc w:val="center"/>
              <w:cnfStyle w:val="000000000000" w:firstRow="0" w:lastRow="0" w:firstColumn="0" w:lastColumn="0" w:oddVBand="0" w:evenVBand="0" w:oddHBand="0" w:evenHBand="0" w:firstRowFirstColumn="0" w:firstRowLastColumn="0" w:lastRowFirstColumn="0" w:lastRowLastColumn="0"/>
            </w:pPr>
            <w:r w:rsidRPr="005D24A9">
              <w:t>20</w:t>
            </w:r>
            <w:r w:rsidRPr="005D24A9" w:rsidR="00CF5A57">
              <w:t>%</w:t>
            </w:r>
          </w:p>
        </w:tc>
        <w:tc>
          <w:tcPr>
            <w:cnfStyle w:val="000000000000" w:firstRow="0" w:lastRow="0" w:firstColumn="0" w:lastColumn="0" w:oddVBand="0" w:evenVBand="0" w:oddHBand="0" w:evenHBand="0" w:firstRowFirstColumn="0" w:firstRowLastColumn="0" w:lastRowFirstColumn="0" w:lastRowLastColumn="0"/>
            <w:tcW w:w="920" w:type="dxa"/>
            <w:tcMar/>
          </w:tcPr>
          <w:p w:rsidRPr="005D24A9" w:rsidR="00CF5A57" w:rsidP="00CF5A57" w:rsidRDefault="00CF5A57" w14:paraId="3B1E11E1" w14:textId="00533EC9">
            <w:pPr>
              <w:jc w:val="center"/>
              <w:cnfStyle w:val="000000000000" w:firstRow="0" w:lastRow="0" w:firstColumn="0" w:lastColumn="0" w:oddVBand="0" w:evenVBand="0" w:oddHBand="0" w:evenHBand="0" w:firstRowFirstColumn="0" w:firstRowLastColumn="0" w:lastRowFirstColumn="0" w:lastRowLastColumn="0"/>
              <w:rPr>
                <w:color w:val="5B9BD5" w:themeColor="accent1"/>
              </w:rPr>
            </w:pPr>
            <w:r w:rsidRPr="005D24A9">
              <w:t>33%</w:t>
            </w:r>
          </w:p>
        </w:tc>
        <w:tc>
          <w:tcPr>
            <w:cnfStyle w:val="000000000000" w:firstRow="0" w:lastRow="0" w:firstColumn="0" w:lastColumn="0" w:oddVBand="0" w:evenVBand="0" w:oddHBand="0" w:evenHBand="0" w:firstRowFirstColumn="0" w:firstRowLastColumn="0" w:lastRowFirstColumn="0" w:lastRowLastColumn="0"/>
            <w:tcW w:w="920" w:type="dxa"/>
            <w:tcMar/>
          </w:tcPr>
          <w:p w:rsidRPr="005D24A9" w:rsidR="00CF5A57" w:rsidP="00CF5A57" w:rsidRDefault="00CF5A57" w14:paraId="0BA0B5F7" w14:textId="6FD3E882">
            <w:pPr>
              <w:jc w:val="center"/>
              <w:cnfStyle w:val="000000000000" w:firstRow="0" w:lastRow="0" w:firstColumn="0" w:lastColumn="0" w:oddVBand="0" w:evenVBand="0" w:oddHBand="0" w:evenHBand="0" w:firstRowFirstColumn="0" w:firstRowLastColumn="0" w:lastRowFirstColumn="0" w:lastRowLastColumn="0"/>
            </w:pPr>
            <w:r w:rsidRPr="005D24A9">
              <w:t>3</w:t>
            </w:r>
            <w:r w:rsidR="007E7AD7">
              <w:t>6</w:t>
            </w:r>
            <w:r w:rsidRPr="005D24A9">
              <w:t>%</w:t>
            </w:r>
          </w:p>
        </w:tc>
        <w:tc>
          <w:tcPr>
            <w:cnfStyle w:val="000000000000" w:firstRow="0" w:lastRow="0" w:firstColumn="0" w:lastColumn="0" w:oddVBand="0" w:evenVBand="0" w:oddHBand="0" w:evenHBand="0" w:firstRowFirstColumn="0" w:firstRowLastColumn="0" w:lastRowFirstColumn="0" w:lastRowLastColumn="0"/>
            <w:tcW w:w="920" w:type="dxa"/>
            <w:tcMar/>
          </w:tcPr>
          <w:p w:rsidRPr="001D0B24" w:rsidR="00CF5A57" w:rsidP="00CF5A57" w:rsidRDefault="00CF5A57" w14:paraId="2F717450" w14:textId="09B6DED5">
            <w:pPr>
              <w:jc w:val="center"/>
              <w:cnfStyle w:val="000000000000" w:firstRow="0" w:lastRow="0" w:firstColumn="0" w:lastColumn="0" w:oddVBand="0" w:evenVBand="0" w:oddHBand="0" w:evenHBand="0" w:firstRowFirstColumn="0" w:firstRowLastColumn="0" w:lastRowFirstColumn="0" w:lastRowLastColumn="0"/>
              <w:rPr>
                <w:color w:val="5B9BD5" w:themeColor="accent1"/>
                <w:highlight w:val="yellow"/>
              </w:rPr>
            </w:pPr>
            <w:r w:rsidRPr="00091E27">
              <w:t>46%</w:t>
            </w:r>
          </w:p>
        </w:tc>
        <w:tc>
          <w:tcPr>
            <w:cnfStyle w:val="000000000000" w:firstRow="0" w:lastRow="0" w:firstColumn="0" w:lastColumn="0" w:oddVBand="0" w:evenVBand="0" w:oddHBand="0" w:evenHBand="0" w:firstRowFirstColumn="0" w:firstRowLastColumn="0" w:lastRowFirstColumn="0" w:lastRowLastColumn="0"/>
            <w:tcW w:w="922" w:type="dxa"/>
            <w:tcMar/>
          </w:tcPr>
          <w:p w:rsidRPr="005D24A9" w:rsidR="00CF5A57" w:rsidP="00CF5A57" w:rsidRDefault="00CF5A57" w14:paraId="2E87E1A7" w14:textId="5792CE0A">
            <w:pPr>
              <w:jc w:val="center"/>
              <w:cnfStyle w:val="000000000000" w:firstRow="0" w:lastRow="0" w:firstColumn="0" w:lastColumn="0" w:oddVBand="0" w:evenVBand="0" w:oddHBand="0" w:evenHBand="0" w:firstRowFirstColumn="0" w:firstRowLastColumn="0" w:lastRowFirstColumn="0" w:lastRowLastColumn="0"/>
            </w:pPr>
            <w:r w:rsidRPr="005D24A9">
              <w:t>4</w:t>
            </w:r>
            <w:r w:rsidR="007E7AD7">
              <w:t>5</w:t>
            </w:r>
            <w:r w:rsidRPr="005D24A9">
              <w:t>%</w:t>
            </w:r>
          </w:p>
        </w:tc>
        <w:tc>
          <w:tcPr>
            <w:cnfStyle w:val="000000000000" w:firstRow="0" w:lastRow="0" w:firstColumn="0" w:lastColumn="0" w:oddVBand="0" w:evenVBand="0" w:oddHBand="0" w:evenHBand="0" w:firstRowFirstColumn="0" w:firstRowLastColumn="0" w:lastRowFirstColumn="0" w:lastRowLastColumn="0"/>
            <w:tcW w:w="920" w:type="dxa"/>
            <w:tcMar/>
          </w:tcPr>
          <w:p w:rsidRPr="001D0B24" w:rsidR="00CF5A57" w:rsidP="00CF5A57" w:rsidRDefault="00CF5A57" w14:paraId="2DE88D2D" w14:textId="3078D6D6">
            <w:pPr>
              <w:jc w:val="center"/>
              <w:cnfStyle w:val="000000000000" w:firstRow="0" w:lastRow="0" w:firstColumn="0" w:lastColumn="0" w:oddVBand="0" w:evenVBand="0" w:oddHBand="0" w:evenHBand="0" w:firstRowFirstColumn="0" w:firstRowLastColumn="0" w:lastRowFirstColumn="0" w:lastRowLastColumn="0"/>
              <w:rPr>
                <w:color w:val="5B9BD5" w:themeColor="accent1"/>
                <w:highlight w:val="yellow"/>
              </w:rPr>
            </w:pPr>
            <w:r w:rsidRPr="00046B3E">
              <w:t>48%</w:t>
            </w:r>
          </w:p>
        </w:tc>
        <w:tc>
          <w:tcPr>
            <w:cnfStyle w:val="000000000000" w:firstRow="0" w:lastRow="0" w:firstColumn="0" w:lastColumn="0" w:oddVBand="0" w:evenVBand="0" w:oddHBand="0" w:evenHBand="0" w:firstRowFirstColumn="0" w:firstRowLastColumn="0" w:lastRowFirstColumn="0" w:lastRowLastColumn="0"/>
            <w:tcW w:w="916" w:type="dxa"/>
            <w:tcMar/>
          </w:tcPr>
          <w:p w:rsidRPr="00E44A12" w:rsidR="00CF5A57" w:rsidP="00CF5A57" w:rsidRDefault="00CF5A57" w14:paraId="4D7CB217" w14:textId="68D752CA">
            <w:pPr>
              <w:jc w:val="center"/>
              <w:cnfStyle w:val="000000000000" w:firstRow="0" w:lastRow="0" w:firstColumn="0" w:lastColumn="0" w:oddVBand="0" w:evenVBand="0" w:oddHBand="0" w:evenHBand="0" w:firstRowFirstColumn="0" w:firstRowLastColumn="0" w:lastRowFirstColumn="0" w:lastRowLastColumn="0"/>
            </w:pPr>
            <w:r w:rsidRPr="00E44A12">
              <w:t>4</w:t>
            </w:r>
            <w:r w:rsidR="007E7AD7">
              <w:t>6</w:t>
            </w:r>
            <w:r w:rsidRPr="00E44A12">
              <w:t>%</w:t>
            </w:r>
          </w:p>
        </w:tc>
      </w:tr>
      <w:tr w:rsidRPr="00C21F20" w:rsidR="00CF5A57" w:rsidTr="54B4EBAD" w14:paraId="312A0C9F" w14:textId="77777777">
        <w:trPr>
          <w:trHeight w:val="447"/>
        </w:trPr>
        <w:tc>
          <w:tcPr>
            <w:cnfStyle w:val="001000000000" w:firstRow="0" w:lastRow="0" w:firstColumn="1" w:lastColumn="0" w:oddVBand="0" w:evenVBand="0" w:oddHBand="0" w:evenHBand="0" w:firstRowFirstColumn="0" w:firstRowLastColumn="0" w:lastRowFirstColumn="0" w:lastRowLastColumn="0"/>
            <w:tcW w:w="1349" w:type="dxa"/>
            <w:tcMar/>
          </w:tcPr>
          <w:p w:rsidRPr="00C21F20" w:rsidR="00CF5A57" w:rsidP="00CF5A57" w:rsidRDefault="00CF5A57" w14:paraId="11EF92F0" w14:textId="77777777">
            <w:pPr>
              <w:rPr>
                <w:color w:val="2D2F43"/>
              </w:rPr>
            </w:pPr>
            <w:r w:rsidRPr="00C21F20">
              <w:rPr>
                <w:color w:val="2D2F43"/>
              </w:rPr>
              <w:t>Percentage Female</w:t>
            </w:r>
          </w:p>
        </w:tc>
        <w:tc>
          <w:tcPr>
            <w:cnfStyle w:val="000000000000" w:firstRow="0" w:lastRow="0" w:firstColumn="0" w:lastColumn="0" w:oddVBand="0" w:evenVBand="0" w:oddHBand="0" w:evenHBand="0" w:firstRowFirstColumn="0" w:firstRowLastColumn="0" w:lastRowFirstColumn="0" w:lastRowLastColumn="0"/>
            <w:tcW w:w="919" w:type="dxa"/>
            <w:tcMar/>
          </w:tcPr>
          <w:p w:rsidRPr="001D0B24" w:rsidR="00CF5A57" w:rsidP="00CF5A57" w:rsidRDefault="00CF5A57" w14:paraId="2EE4CD64" w14:textId="138AEE2C">
            <w:pPr>
              <w:jc w:val="center"/>
              <w:cnfStyle w:val="000000000000" w:firstRow="0" w:lastRow="0" w:firstColumn="0" w:lastColumn="0" w:oddVBand="0" w:evenVBand="0" w:oddHBand="0" w:evenHBand="0" w:firstRowFirstColumn="0" w:firstRowLastColumn="0" w:lastRowFirstColumn="0" w:lastRowLastColumn="0"/>
              <w:rPr>
                <w:color w:val="5B9BD5" w:themeColor="accent1"/>
                <w:highlight w:val="yellow"/>
              </w:rPr>
            </w:pPr>
            <w:r w:rsidRPr="00950F73">
              <w:t>79%</w:t>
            </w:r>
          </w:p>
        </w:tc>
        <w:tc>
          <w:tcPr>
            <w:cnfStyle w:val="000000000000" w:firstRow="0" w:lastRow="0" w:firstColumn="0" w:lastColumn="0" w:oddVBand="0" w:evenVBand="0" w:oddHBand="0" w:evenHBand="0" w:firstRowFirstColumn="0" w:firstRowLastColumn="0" w:lastRowFirstColumn="0" w:lastRowLastColumn="0"/>
            <w:tcW w:w="920" w:type="dxa"/>
            <w:tcMar/>
          </w:tcPr>
          <w:p w:rsidRPr="005D24A9" w:rsidR="00CF5A57" w:rsidP="00CF5A57" w:rsidRDefault="008B6100" w14:paraId="1AA844C1" w14:textId="49DB1CCD">
            <w:pPr>
              <w:jc w:val="center"/>
              <w:cnfStyle w:val="000000000000" w:firstRow="0" w:lastRow="0" w:firstColumn="0" w:lastColumn="0" w:oddVBand="0" w:evenVBand="0" w:oddHBand="0" w:evenHBand="0" w:firstRowFirstColumn="0" w:firstRowLastColumn="0" w:lastRowFirstColumn="0" w:lastRowLastColumn="0"/>
            </w:pPr>
            <w:r w:rsidRPr="005D24A9">
              <w:t>80</w:t>
            </w:r>
            <w:r w:rsidRPr="005D24A9" w:rsidR="00CF5A57">
              <w:t>%</w:t>
            </w:r>
          </w:p>
        </w:tc>
        <w:tc>
          <w:tcPr>
            <w:cnfStyle w:val="000000000000" w:firstRow="0" w:lastRow="0" w:firstColumn="0" w:lastColumn="0" w:oddVBand="0" w:evenVBand="0" w:oddHBand="0" w:evenHBand="0" w:firstRowFirstColumn="0" w:firstRowLastColumn="0" w:lastRowFirstColumn="0" w:lastRowLastColumn="0"/>
            <w:tcW w:w="920" w:type="dxa"/>
            <w:tcMar/>
          </w:tcPr>
          <w:p w:rsidRPr="005D24A9" w:rsidR="00CF5A57" w:rsidP="00CF5A57" w:rsidRDefault="00CF5A57" w14:paraId="44626845" w14:textId="4EDEBC15">
            <w:pPr>
              <w:jc w:val="center"/>
              <w:cnfStyle w:val="000000000000" w:firstRow="0" w:lastRow="0" w:firstColumn="0" w:lastColumn="0" w:oddVBand="0" w:evenVBand="0" w:oddHBand="0" w:evenHBand="0" w:firstRowFirstColumn="0" w:firstRowLastColumn="0" w:lastRowFirstColumn="0" w:lastRowLastColumn="0"/>
              <w:rPr>
                <w:color w:val="5B9BD5" w:themeColor="accent1"/>
              </w:rPr>
            </w:pPr>
            <w:r w:rsidRPr="005D24A9">
              <w:t>67%</w:t>
            </w:r>
          </w:p>
        </w:tc>
        <w:tc>
          <w:tcPr>
            <w:cnfStyle w:val="000000000000" w:firstRow="0" w:lastRow="0" w:firstColumn="0" w:lastColumn="0" w:oddVBand="0" w:evenVBand="0" w:oddHBand="0" w:evenHBand="0" w:firstRowFirstColumn="0" w:firstRowLastColumn="0" w:lastRowFirstColumn="0" w:lastRowLastColumn="0"/>
            <w:tcW w:w="920" w:type="dxa"/>
            <w:tcMar/>
          </w:tcPr>
          <w:p w:rsidRPr="005D24A9" w:rsidR="00CF5A57" w:rsidP="00CF5A57" w:rsidRDefault="00CF5A57" w14:paraId="0E46F5D6" w14:textId="1D0964FD">
            <w:pPr>
              <w:jc w:val="center"/>
              <w:cnfStyle w:val="000000000000" w:firstRow="0" w:lastRow="0" w:firstColumn="0" w:lastColumn="0" w:oddVBand="0" w:evenVBand="0" w:oddHBand="0" w:evenHBand="0" w:firstRowFirstColumn="0" w:firstRowLastColumn="0" w:lastRowFirstColumn="0" w:lastRowLastColumn="0"/>
            </w:pPr>
            <w:r w:rsidRPr="005D24A9">
              <w:t>6</w:t>
            </w:r>
            <w:r w:rsidR="007E7AD7">
              <w:t>4</w:t>
            </w:r>
            <w:r w:rsidRPr="005D24A9">
              <w:t>%</w:t>
            </w:r>
          </w:p>
        </w:tc>
        <w:tc>
          <w:tcPr>
            <w:cnfStyle w:val="000000000000" w:firstRow="0" w:lastRow="0" w:firstColumn="0" w:lastColumn="0" w:oddVBand="0" w:evenVBand="0" w:oddHBand="0" w:evenHBand="0" w:firstRowFirstColumn="0" w:firstRowLastColumn="0" w:lastRowFirstColumn="0" w:lastRowLastColumn="0"/>
            <w:tcW w:w="920" w:type="dxa"/>
            <w:tcMar/>
          </w:tcPr>
          <w:p w:rsidRPr="001D0B24" w:rsidR="00CF5A57" w:rsidP="00CF5A57" w:rsidRDefault="00CF5A57" w14:paraId="5351D341" w14:textId="5E121A13">
            <w:pPr>
              <w:jc w:val="center"/>
              <w:cnfStyle w:val="000000000000" w:firstRow="0" w:lastRow="0" w:firstColumn="0" w:lastColumn="0" w:oddVBand="0" w:evenVBand="0" w:oddHBand="0" w:evenHBand="0" w:firstRowFirstColumn="0" w:firstRowLastColumn="0" w:lastRowFirstColumn="0" w:lastRowLastColumn="0"/>
              <w:rPr>
                <w:color w:val="5B9BD5" w:themeColor="accent1"/>
                <w:highlight w:val="yellow"/>
              </w:rPr>
            </w:pPr>
            <w:r w:rsidRPr="00091E27">
              <w:t>54%</w:t>
            </w:r>
          </w:p>
        </w:tc>
        <w:tc>
          <w:tcPr>
            <w:cnfStyle w:val="000000000000" w:firstRow="0" w:lastRow="0" w:firstColumn="0" w:lastColumn="0" w:oddVBand="0" w:evenVBand="0" w:oddHBand="0" w:evenHBand="0" w:firstRowFirstColumn="0" w:firstRowLastColumn="0" w:lastRowFirstColumn="0" w:lastRowLastColumn="0"/>
            <w:tcW w:w="922" w:type="dxa"/>
            <w:tcMar/>
          </w:tcPr>
          <w:p w:rsidRPr="005D24A9" w:rsidR="00CF5A57" w:rsidP="00CF5A57" w:rsidRDefault="00CF5A57" w14:paraId="05224D84" w14:textId="0B38FB61">
            <w:pPr>
              <w:jc w:val="center"/>
              <w:cnfStyle w:val="000000000000" w:firstRow="0" w:lastRow="0" w:firstColumn="0" w:lastColumn="0" w:oddVBand="0" w:evenVBand="0" w:oddHBand="0" w:evenHBand="0" w:firstRowFirstColumn="0" w:firstRowLastColumn="0" w:lastRowFirstColumn="0" w:lastRowLastColumn="0"/>
            </w:pPr>
            <w:r w:rsidR="00CF5A57">
              <w:rPr/>
              <w:t>5</w:t>
            </w:r>
            <w:r w:rsidR="007E7AD7">
              <w:rPr/>
              <w:t>5</w:t>
            </w:r>
            <w:r w:rsidR="00CF5A57">
              <w:rPr/>
              <w:t>%</w:t>
            </w:r>
          </w:p>
        </w:tc>
        <w:tc>
          <w:tcPr>
            <w:cnfStyle w:val="000000000000" w:firstRow="0" w:lastRow="0" w:firstColumn="0" w:lastColumn="0" w:oddVBand="0" w:evenVBand="0" w:oddHBand="0" w:evenHBand="0" w:firstRowFirstColumn="0" w:firstRowLastColumn="0" w:lastRowFirstColumn="0" w:lastRowLastColumn="0"/>
            <w:tcW w:w="920" w:type="dxa"/>
            <w:tcMar/>
          </w:tcPr>
          <w:p w:rsidRPr="001D0B24" w:rsidR="00CF5A57" w:rsidP="00CF5A57" w:rsidRDefault="00CF5A57" w14:paraId="10047FD2" w14:textId="1220C2BB">
            <w:pPr>
              <w:jc w:val="center"/>
              <w:cnfStyle w:val="000000000000" w:firstRow="0" w:lastRow="0" w:firstColumn="0" w:lastColumn="0" w:oddVBand="0" w:evenVBand="0" w:oddHBand="0" w:evenHBand="0" w:firstRowFirstColumn="0" w:firstRowLastColumn="0" w:lastRowFirstColumn="0" w:lastRowLastColumn="0"/>
              <w:rPr>
                <w:color w:val="5B9BD5" w:themeColor="accent1"/>
                <w:highlight w:val="yellow"/>
              </w:rPr>
            </w:pPr>
            <w:r w:rsidRPr="00046B3E">
              <w:t>52%</w:t>
            </w:r>
          </w:p>
        </w:tc>
        <w:tc>
          <w:tcPr>
            <w:cnfStyle w:val="000000000000" w:firstRow="0" w:lastRow="0" w:firstColumn="0" w:lastColumn="0" w:oddVBand="0" w:evenVBand="0" w:oddHBand="0" w:evenHBand="0" w:firstRowFirstColumn="0" w:firstRowLastColumn="0" w:lastRowFirstColumn="0" w:lastRowLastColumn="0"/>
            <w:tcW w:w="916" w:type="dxa"/>
            <w:tcMar/>
          </w:tcPr>
          <w:p w:rsidRPr="00E44A12" w:rsidR="00CF5A57" w:rsidP="00CF5A57" w:rsidRDefault="007E7AD7" w14:paraId="17A85DFA" w14:textId="6D5500C1">
            <w:pPr>
              <w:jc w:val="center"/>
              <w:cnfStyle w:val="000000000000" w:firstRow="0" w:lastRow="0" w:firstColumn="0" w:lastColumn="0" w:oddVBand="0" w:evenVBand="0" w:oddHBand="0" w:evenHBand="0" w:firstRowFirstColumn="0" w:firstRowLastColumn="0" w:lastRowFirstColumn="0" w:lastRowLastColumn="0"/>
            </w:pPr>
            <w:r>
              <w:t>54</w:t>
            </w:r>
            <w:r w:rsidRPr="00E44A12" w:rsidR="00CF5A57">
              <w:t>%</w:t>
            </w:r>
          </w:p>
        </w:tc>
      </w:tr>
      <w:tr w:rsidRPr="00C21F20" w:rsidR="00CF5A57" w:rsidTr="54B4EBAD" w14:paraId="3310C43A" w14:textId="77777777">
        <w:trPr>
          <w:trHeight w:val="437"/>
        </w:trPr>
        <w:tc>
          <w:tcPr>
            <w:cnfStyle w:val="001000000000" w:firstRow="0" w:lastRow="0" w:firstColumn="1" w:lastColumn="0" w:oddVBand="0" w:evenVBand="0" w:oddHBand="0" w:evenHBand="0" w:firstRowFirstColumn="0" w:firstRowLastColumn="0" w:lastRowFirstColumn="0" w:lastRowLastColumn="0"/>
            <w:tcW w:w="1349" w:type="dxa"/>
            <w:tcMar/>
          </w:tcPr>
          <w:p w:rsidRPr="00C21F20" w:rsidR="00CF5A57" w:rsidP="00CF5A57" w:rsidRDefault="00CF5A57" w14:paraId="35331092" w14:textId="77777777">
            <w:pPr>
              <w:rPr>
                <w:color w:val="2D2F43"/>
              </w:rPr>
            </w:pPr>
          </w:p>
        </w:tc>
        <w:tc>
          <w:tcPr>
            <w:cnfStyle w:val="000000000000" w:firstRow="0" w:lastRow="0" w:firstColumn="0" w:lastColumn="0" w:oddVBand="0" w:evenVBand="0" w:oddHBand="0" w:evenHBand="0" w:firstRowFirstColumn="0" w:firstRowLastColumn="0" w:lastRowFirstColumn="0" w:lastRowLastColumn="0"/>
            <w:tcW w:w="919" w:type="dxa"/>
            <w:tcMar/>
          </w:tcPr>
          <w:p w:rsidRPr="001D0B24" w:rsidR="00CF5A57" w:rsidP="00CF5A57" w:rsidRDefault="00CF5A57" w14:paraId="030F7E98" w14:textId="4A4CDAB2">
            <w:pPr>
              <w:jc w:val="center"/>
              <w:cnfStyle w:val="000000000000" w:firstRow="0" w:lastRow="0" w:firstColumn="0" w:lastColumn="0" w:oddVBand="0" w:evenVBand="0" w:oddHBand="0" w:evenHBand="0" w:firstRowFirstColumn="0" w:firstRowLastColumn="0" w:lastRowFirstColumn="0" w:lastRowLastColumn="0"/>
              <w:rPr>
                <w:color w:val="5B9BD5" w:themeColor="accent1"/>
                <w:highlight w:val="yellow"/>
              </w:rPr>
            </w:pPr>
            <w:r w:rsidRPr="00950F73">
              <w:t>100%</w:t>
            </w:r>
          </w:p>
        </w:tc>
        <w:tc>
          <w:tcPr>
            <w:cnfStyle w:val="000000000000" w:firstRow="0" w:lastRow="0" w:firstColumn="0" w:lastColumn="0" w:oddVBand="0" w:evenVBand="0" w:oddHBand="0" w:evenHBand="0" w:firstRowFirstColumn="0" w:firstRowLastColumn="0" w:lastRowFirstColumn="0" w:lastRowLastColumn="0"/>
            <w:tcW w:w="920" w:type="dxa"/>
            <w:tcMar/>
          </w:tcPr>
          <w:p w:rsidRPr="005D24A9" w:rsidR="00CF5A57" w:rsidP="00CF5A57" w:rsidRDefault="00CF5A57" w14:paraId="047840A0" w14:textId="77777777">
            <w:pPr>
              <w:jc w:val="center"/>
              <w:cnfStyle w:val="000000000000" w:firstRow="0" w:lastRow="0" w:firstColumn="0" w:lastColumn="0" w:oddVBand="0" w:evenVBand="0" w:oddHBand="0" w:evenHBand="0" w:firstRowFirstColumn="0" w:firstRowLastColumn="0" w:lastRowFirstColumn="0" w:lastRowLastColumn="0"/>
            </w:pPr>
            <w:r w:rsidRPr="005D24A9">
              <w:t>100%</w:t>
            </w:r>
          </w:p>
        </w:tc>
        <w:tc>
          <w:tcPr>
            <w:cnfStyle w:val="000000000000" w:firstRow="0" w:lastRow="0" w:firstColumn="0" w:lastColumn="0" w:oddVBand="0" w:evenVBand="0" w:oddHBand="0" w:evenHBand="0" w:firstRowFirstColumn="0" w:firstRowLastColumn="0" w:lastRowFirstColumn="0" w:lastRowLastColumn="0"/>
            <w:tcW w:w="920" w:type="dxa"/>
            <w:tcMar/>
          </w:tcPr>
          <w:p w:rsidRPr="005D24A9" w:rsidR="00CF5A57" w:rsidP="00CF5A57" w:rsidRDefault="00CF5A57" w14:paraId="1453DE78" w14:textId="7346FF5D">
            <w:pPr>
              <w:jc w:val="center"/>
              <w:cnfStyle w:val="000000000000" w:firstRow="0" w:lastRow="0" w:firstColumn="0" w:lastColumn="0" w:oddVBand="0" w:evenVBand="0" w:oddHBand="0" w:evenHBand="0" w:firstRowFirstColumn="0" w:firstRowLastColumn="0" w:lastRowFirstColumn="0" w:lastRowLastColumn="0"/>
              <w:rPr>
                <w:color w:val="5B9BD5" w:themeColor="accent1"/>
              </w:rPr>
            </w:pPr>
            <w:r w:rsidRPr="005D24A9">
              <w:t>100%</w:t>
            </w:r>
          </w:p>
        </w:tc>
        <w:tc>
          <w:tcPr>
            <w:cnfStyle w:val="000000000000" w:firstRow="0" w:lastRow="0" w:firstColumn="0" w:lastColumn="0" w:oddVBand="0" w:evenVBand="0" w:oddHBand="0" w:evenHBand="0" w:firstRowFirstColumn="0" w:firstRowLastColumn="0" w:lastRowFirstColumn="0" w:lastRowLastColumn="0"/>
            <w:tcW w:w="920" w:type="dxa"/>
            <w:tcMar/>
          </w:tcPr>
          <w:p w:rsidRPr="005D24A9" w:rsidR="00CF5A57" w:rsidP="00CF5A57" w:rsidRDefault="00CF5A57" w14:paraId="708A6FBB" w14:textId="77777777">
            <w:pPr>
              <w:jc w:val="center"/>
              <w:cnfStyle w:val="000000000000" w:firstRow="0" w:lastRow="0" w:firstColumn="0" w:lastColumn="0" w:oddVBand="0" w:evenVBand="0" w:oddHBand="0" w:evenHBand="0" w:firstRowFirstColumn="0" w:firstRowLastColumn="0" w:lastRowFirstColumn="0" w:lastRowLastColumn="0"/>
            </w:pPr>
            <w:r w:rsidRPr="005D24A9">
              <w:t>100%</w:t>
            </w:r>
          </w:p>
        </w:tc>
        <w:tc>
          <w:tcPr>
            <w:cnfStyle w:val="000000000000" w:firstRow="0" w:lastRow="0" w:firstColumn="0" w:lastColumn="0" w:oddVBand="0" w:evenVBand="0" w:oddHBand="0" w:evenHBand="0" w:firstRowFirstColumn="0" w:firstRowLastColumn="0" w:lastRowFirstColumn="0" w:lastRowLastColumn="0"/>
            <w:tcW w:w="920" w:type="dxa"/>
            <w:tcMar/>
          </w:tcPr>
          <w:p w:rsidRPr="001D0B24" w:rsidR="00CF5A57" w:rsidP="00CF5A57" w:rsidRDefault="00CF5A57" w14:paraId="09ED5B33" w14:textId="65B6C76A">
            <w:pPr>
              <w:jc w:val="center"/>
              <w:cnfStyle w:val="000000000000" w:firstRow="0" w:lastRow="0" w:firstColumn="0" w:lastColumn="0" w:oddVBand="0" w:evenVBand="0" w:oddHBand="0" w:evenHBand="0" w:firstRowFirstColumn="0" w:firstRowLastColumn="0" w:lastRowFirstColumn="0" w:lastRowLastColumn="0"/>
              <w:rPr>
                <w:color w:val="5B9BD5" w:themeColor="accent1"/>
                <w:highlight w:val="yellow"/>
              </w:rPr>
            </w:pPr>
            <w:r w:rsidRPr="00091E27">
              <w:t>100%</w:t>
            </w:r>
          </w:p>
        </w:tc>
        <w:tc>
          <w:tcPr>
            <w:cnfStyle w:val="000000000000" w:firstRow="0" w:lastRow="0" w:firstColumn="0" w:lastColumn="0" w:oddVBand="0" w:evenVBand="0" w:oddHBand="0" w:evenHBand="0" w:firstRowFirstColumn="0" w:firstRowLastColumn="0" w:lastRowFirstColumn="0" w:lastRowLastColumn="0"/>
            <w:tcW w:w="922" w:type="dxa"/>
            <w:tcMar/>
          </w:tcPr>
          <w:p w:rsidRPr="005D24A9" w:rsidR="00CF5A57" w:rsidP="00CF5A57" w:rsidRDefault="00CF5A57" w14:paraId="71D071F1" w14:textId="4EB66B81">
            <w:pPr>
              <w:jc w:val="center"/>
              <w:cnfStyle w:val="000000000000" w:firstRow="0" w:lastRow="0" w:firstColumn="0" w:lastColumn="0" w:oddVBand="0" w:evenVBand="0" w:oddHBand="0" w:evenHBand="0" w:firstRowFirstColumn="0" w:firstRowLastColumn="0" w:lastRowFirstColumn="0" w:lastRowLastColumn="0"/>
            </w:pPr>
            <w:r w:rsidRPr="005D24A9">
              <w:t>100%</w:t>
            </w:r>
          </w:p>
        </w:tc>
        <w:tc>
          <w:tcPr>
            <w:cnfStyle w:val="000000000000" w:firstRow="0" w:lastRow="0" w:firstColumn="0" w:lastColumn="0" w:oddVBand="0" w:evenVBand="0" w:oddHBand="0" w:evenHBand="0" w:firstRowFirstColumn="0" w:firstRowLastColumn="0" w:lastRowFirstColumn="0" w:lastRowLastColumn="0"/>
            <w:tcW w:w="920" w:type="dxa"/>
            <w:tcMar/>
          </w:tcPr>
          <w:p w:rsidRPr="001D0B24" w:rsidR="00CF5A57" w:rsidP="00CF5A57" w:rsidRDefault="00CF5A57" w14:paraId="64B01027" w14:textId="2C83FE00">
            <w:pPr>
              <w:jc w:val="center"/>
              <w:cnfStyle w:val="000000000000" w:firstRow="0" w:lastRow="0" w:firstColumn="0" w:lastColumn="0" w:oddVBand="0" w:evenVBand="0" w:oddHBand="0" w:evenHBand="0" w:firstRowFirstColumn="0" w:firstRowLastColumn="0" w:lastRowFirstColumn="0" w:lastRowLastColumn="0"/>
              <w:rPr>
                <w:color w:val="5B9BD5" w:themeColor="accent1"/>
                <w:highlight w:val="yellow"/>
              </w:rPr>
            </w:pPr>
            <w:r w:rsidRPr="00046B3E">
              <w:t>100%</w:t>
            </w:r>
          </w:p>
        </w:tc>
        <w:tc>
          <w:tcPr>
            <w:cnfStyle w:val="000000000000" w:firstRow="0" w:lastRow="0" w:firstColumn="0" w:lastColumn="0" w:oddVBand="0" w:evenVBand="0" w:oddHBand="0" w:evenHBand="0" w:firstRowFirstColumn="0" w:firstRowLastColumn="0" w:lastRowFirstColumn="0" w:lastRowLastColumn="0"/>
            <w:tcW w:w="916" w:type="dxa"/>
            <w:tcMar/>
          </w:tcPr>
          <w:p w:rsidRPr="00E44A12" w:rsidR="00CF5A57" w:rsidP="00CF5A57" w:rsidRDefault="00CF5A57" w14:paraId="51688DB2" w14:textId="77777777">
            <w:pPr>
              <w:jc w:val="center"/>
              <w:cnfStyle w:val="000000000000" w:firstRow="0" w:lastRow="0" w:firstColumn="0" w:lastColumn="0" w:oddVBand="0" w:evenVBand="0" w:oddHBand="0" w:evenHBand="0" w:firstRowFirstColumn="0" w:firstRowLastColumn="0" w:lastRowFirstColumn="0" w:lastRowLastColumn="0"/>
            </w:pPr>
            <w:r w:rsidRPr="00E44A12">
              <w:t>100%</w:t>
            </w:r>
          </w:p>
        </w:tc>
      </w:tr>
    </w:tbl>
    <w:p w:rsidRPr="00C21F20" w:rsidR="00CB5E94" w:rsidRDefault="00CB5E94" w14:paraId="2544A164" w14:textId="77777777">
      <w:pPr>
        <w:rPr>
          <w:color w:val="2D2F43"/>
        </w:rPr>
      </w:pPr>
    </w:p>
    <w:p w:rsidR="00DA30C8" w:rsidP="00FC3ED6" w:rsidRDefault="00C21F20" w14:paraId="77C69862" w14:textId="03DB7157">
      <w:pPr>
        <w:rPr>
          <w:color w:val="2D2F43"/>
        </w:rPr>
      </w:pPr>
      <w:r>
        <w:rPr>
          <w:color w:val="2D2F43"/>
        </w:rPr>
        <w:t>On 5</w:t>
      </w:r>
      <w:r w:rsidRPr="00C21F20">
        <w:rPr>
          <w:color w:val="2D2F43"/>
          <w:vertAlign w:val="superscript"/>
        </w:rPr>
        <w:t>th</w:t>
      </w:r>
      <w:r w:rsidR="001F5EEC">
        <w:rPr>
          <w:color w:val="2D2F43"/>
        </w:rPr>
        <w:t xml:space="preserve"> April 20</w:t>
      </w:r>
      <w:r w:rsidR="002A7EC4">
        <w:rPr>
          <w:color w:val="2D2F43"/>
        </w:rPr>
        <w:t>2</w:t>
      </w:r>
      <w:r w:rsidR="001D0B24">
        <w:rPr>
          <w:color w:val="2D2F43"/>
        </w:rPr>
        <w:t>3</w:t>
      </w:r>
      <w:r>
        <w:rPr>
          <w:color w:val="2D2F43"/>
        </w:rPr>
        <w:t xml:space="preserve"> there were</w:t>
      </w:r>
      <w:r w:rsidR="001F5EEC">
        <w:rPr>
          <w:color w:val="2D2F43"/>
        </w:rPr>
        <w:t xml:space="preserve"> </w:t>
      </w:r>
      <w:r w:rsidRPr="001D0B24" w:rsidR="000F0F18">
        <w:rPr>
          <w:color w:val="2D2F43"/>
        </w:rPr>
        <w:t>5</w:t>
      </w:r>
      <w:r w:rsidRPr="001D0B24" w:rsidR="001D0B24">
        <w:rPr>
          <w:color w:val="2D2F43"/>
        </w:rPr>
        <w:t>82</w:t>
      </w:r>
      <w:r w:rsidR="00E002E1">
        <w:rPr>
          <w:color w:val="2D2F43"/>
        </w:rPr>
        <w:t xml:space="preserve"> </w:t>
      </w:r>
      <w:r>
        <w:rPr>
          <w:color w:val="2D2F43"/>
        </w:rPr>
        <w:t xml:space="preserve">relevant employees, </w:t>
      </w:r>
      <w:r w:rsidRPr="001D0B24">
        <w:rPr>
          <w:color w:val="2D2F43"/>
        </w:rPr>
        <w:t xml:space="preserve">split </w:t>
      </w:r>
      <w:r w:rsidRPr="001D0B24" w:rsidR="000F0F18">
        <w:rPr>
          <w:color w:val="2D2F43"/>
        </w:rPr>
        <w:t>21</w:t>
      </w:r>
      <w:r w:rsidRPr="001D0B24" w:rsidR="001D0B24">
        <w:rPr>
          <w:color w:val="2D2F43"/>
        </w:rPr>
        <w:t>5</w:t>
      </w:r>
      <w:r w:rsidRPr="001D0B24" w:rsidR="001F5EEC">
        <w:rPr>
          <w:color w:val="2D2F43"/>
        </w:rPr>
        <w:t xml:space="preserve"> </w:t>
      </w:r>
      <w:r w:rsidRPr="001D0B24">
        <w:rPr>
          <w:color w:val="2D2F43"/>
        </w:rPr>
        <w:t>(</w:t>
      </w:r>
      <w:r w:rsidRPr="001D0B24" w:rsidR="000F0F18">
        <w:rPr>
          <w:color w:val="2D2F43"/>
        </w:rPr>
        <w:t>3</w:t>
      </w:r>
      <w:r w:rsidRPr="001D0B24" w:rsidR="001D0B24">
        <w:rPr>
          <w:color w:val="2D2F43"/>
        </w:rPr>
        <w:t>7</w:t>
      </w:r>
      <w:r w:rsidRPr="001D0B24">
        <w:rPr>
          <w:color w:val="2D2F43"/>
        </w:rPr>
        <w:t>%) male and</w:t>
      </w:r>
      <w:r w:rsidRPr="001D0B24" w:rsidR="00D8049C">
        <w:rPr>
          <w:color w:val="2D2F43"/>
        </w:rPr>
        <w:t xml:space="preserve"> </w:t>
      </w:r>
      <w:r w:rsidRPr="001D0B24" w:rsidR="001E7956">
        <w:rPr>
          <w:color w:val="2D2F43"/>
        </w:rPr>
        <w:t>3</w:t>
      </w:r>
      <w:r w:rsidRPr="001D0B24" w:rsidR="001D0B24">
        <w:rPr>
          <w:color w:val="2D2F43"/>
        </w:rPr>
        <w:t>67</w:t>
      </w:r>
      <w:r w:rsidRPr="001D0B24" w:rsidR="0008432D">
        <w:rPr>
          <w:color w:val="2D2F43"/>
        </w:rPr>
        <w:t xml:space="preserve"> </w:t>
      </w:r>
      <w:r w:rsidRPr="001D0B24">
        <w:rPr>
          <w:color w:val="2D2F43"/>
        </w:rPr>
        <w:t>(</w:t>
      </w:r>
      <w:r w:rsidRPr="001D0B24" w:rsidR="001E7956">
        <w:rPr>
          <w:color w:val="2D2F43"/>
        </w:rPr>
        <w:t>6</w:t>
      </w:r>
      <w:r w:rsidRPr="001D0B24" w:rsidR="001D0B24">
        <w:rPr>
          <w:color w:val="2D2F43"/>
        </w:rPr>
        <w:t>3</w:t>
      </w:r>
      <w:r w:rsidRPr="001D0B24">
        <w:rPr>
          <w:color w:val="2D2F43"/>
        </w:rPr>
        <w:t>%)</w:t>
      </w:r>
      <w:r>
        <w:rPr>
          <w:color w:val="2D2F43"/>
        </w:rPr>
        <w:t xml:space="preserve"> </w:t>
      </w:r>
      <w:r w:rsidRPr="00F37F66">
        <w:rPr>
          <w:color w:val="2D2F43"/>
        </w:rPr>
        <w:t>female.</w:t>
      </w:r>
      <w:r w:rsidRPr="00F37F66" w:rsidR="00FC3ED6">
        <w:rPr>
          <w:color w:val="2D2F43"/>
        </w:rPr>
        <w:t xml:space="preserve">  On 5</w:t>
      </w:r>
      <w:r w:rsidRPr="00F37F66" w:rsidR="00FC3ED6">
        <w:rPr>
          <w:color w:val="2D2F43"/>
          <w:vertAlign w:val="superscript"/>
        </w:rPr>
        <w:t>th</w:t>
      </w:r>
      <w:r w:rsidRPr="00F37F66" w:rsidR="00FC3ED6">
        <w:rPr>
          <w:color w:val="2D2F43"/>
        </w:rPr>
        <w:t xml:space="preserve"> April 20</w:t>
      </w:r>
      <w:r w:rsidRPr="00F37F66" w:rsidR="00D429C4">
        <w:rPr>
          <w:color w:val="2D2F43"/>
        </w:rPr>
        <w:t>2</w:t>
      </w:r>
      <w:r w:rsidRPr="00F37F66" w:rsidR="001D0B24">
        <w:rPr>
          <w:color w:val="2D2F43"/>
        </w:rPr>
        <w:t>4</w:t>
      </w:r>
      <w:r w:rsidRPr="00F37F66" w:rsidR="00FC3ED6">
        <w:rPr>
          <w:color w:val="2D2F43"/>
        </w:rPr>
        <w:t xml:space="preserve"> there were </w:t>
      </w:r>
      <w:r w:rsidRPr="00F37F66" w:rsidR="00E44A12">
        <w:rPr>
          <w:color w:val="2D2F43"/>
        </w:rPr>
        <w:t xml:space="preserve">602 </w:t>
      </w:r>
      <w:r w:rsidRPr="00F37F66" w:rsidR="00FC3ED6">
        <w:rPr>
          <w:color w:val="2D2F43"/>
        </w:rPr>
        <w:t xml:space="preserve">relevant employees, split </w:t>
      </w:r>
      <w:r w:rsidRPr="00F37F66" w:rsidR="005628DC">
        <w:rPr>
          <w:color w:val="2D2F43"/>
        </w:rPr>
        <w:t>2</w:t>
      </w:r>
      <w:r w:rsidRPr="00F37F66" w:rsidR="00F37F66">
        <w:rPr>
          <w:color w:val="2D2F43"/>
        </w:rPr>
        <w:t>21</w:t>
      </w:r>
      <w:r w:rsidRPr="00F37F66" w:rsidR="00FC3ED6">
        <w:rPr>
          <w:color w:val="2D2F43"/>
        </w:rPr>
        <w:t xml:space="preserve"> (</w:t>
      </w:r>
      <w:r w:rsidRPr="00F37F66" w:rsidR="007C42DA">
        <w:rPr>
          <w:color w:val="2D2F43"/>
        </w:rPr>
        <w:t>37</w:t>
      </w:r>
      <w:r w:rsidRPr="00F37F66" w:rsidR="00FC3ED6">
        <w:rPr>
          <w:color w:val="2D2F43"/>
        </w:rPr>
        <w:t xml:space="preserve">%) male and </w:t>
      </w:r>
      <w:r w:rsidRPr="00F37F66" w:rsidR="0067741D">
        <w:rPr>
          <w:color w:val="2D2F43"/>
        </w:rPr>
        <w:t>3</w:t>
      </w:r>
      <w:r w:rsidRPr="00F37F66" w:rsidR="00F37F66">
        <w:rPr>
          <w:color w:val="2D2F43"/>
        </w:rPr>
        <w:t>81</w:t>
      </w:r>
      <w:r w:rsidRPr="00F37F66" w:rsidR="00D8049C">
        <w:rPr>
          <w:color w:val="2D2F43"/>
        </w:rPr>
        <w:t xml:space="preserve"> </w:t>
      </w:r>
      <w:r w:rsidRPr="00F37F66" w:rsidR="00FC3ED6">
        <w:rPr>
          <w:color w:val="2D2F43"/>
        </w:rPr>
        <w:t>(</w:t>
      </w:r>
      <w:r w:rsidRPr="00F37F66" w:rsidR="0067741D">
        <w:rPr>
          <w:color w:val="2D2F43"/>
        </w:rPr>
        <w:t>63</w:t>
      </w:r>
      <w:r w:rsidRPr="00F37F66" w:rsidR="00FC3ED6">
        <w:rPr>
          <w:color w:val="2D2F43"/>
        </w:rPr>
        <w:t>%) female.</w:t>
      </w:r>
      <w:r w:rsidR="00746976">
        <w:rPr>
          <w:color w:val="2D2F43"/>
        </w:rPr>
        <w:t xml:space="preserve"> </w:t>
      </w:r>
    </w:p>
    <w:p w:rsidR="00DA30C8" w:rsidP="00FC3ED6" w:rsidRDefault="00DA30C8" w14:paraId="216DBAC1" w14:textId="77777777">
      <w:pPr>
        <w:rPr>
          <w:color w:val="2D2F43"/>
        </w:rPr>
      </w:pPr>
    </w:p>
    <w:p w:rsidRPr="00DB26E1" w:rsidR="00DB26E1" w:rsidP="00CB5E94" w:rsidRDefault="00DB26E1" w14:paraId="78428E42" w14:textId="77777777">
      <w:pPr>
        <w:rPr>
          <w:i/>
          <w:color w:val="2D2F43"/>
        </w:rPr>
      </w:pPr>
      <w:r>
        <w:rPr>
          <w:i/>
          <w:color w:val="2D2F43"/>
        </w:rPr>
        <w:t>Commentary</w:t>
      </w:r>
    </w:p>
    <w:p w:rsidR="00DB26E1" w:rsidP="00CB5E94" w:rsidRDefault="00DB26E1" w14:paraId="2C58728A" w14:textId="77777777">
      <w:pPr>
        <w:rPr>
          <w:color w:val="2D2F43"/>
        </w:rPr>
      </w:pPr>
    </w:p>
    <w:p w:rsidRPr="00B269F0" w:rsidR="001E36C6" w:rsidP="001E36C6" w:rsidRDefault="00D575AD" w14:paraId="582ED5A6" w14:textId="2B8068FD">
      <w:pPr>
        <w:pStyle w:val="Default"/>
        <w:rPr>
          <w:i/>
          <w:iCs/>
          <w:color w:val="2D2F43"/>
        </w:rPr>
      </w:pPr>
      <w:r>
        <w:rPr>
          <w:rFonts w:ascii="Garamond" w:hAnsi="Garamond" w:cstheme="minorBidi"/>
          <w:i/>
          <w:iCs/>
          <w:color w:val="2D2F43"/>
          <w:szCs w:val="22"/>
        </w:rPr>
        <w:t>The Charity</w:t>
      </w:r>
      <w:r w:rsidRPr="00B269F0" w:rsidR="001E36C6">
        <w:rPr>
          <w:rFonts w:ascii="Garamond" w:hAnsi="Garamond" w:cstheme="minorBidi"/>
          <w:i/>
          <w:iCs/>
          <w:color w:val="2D2F43"/>
          <w:szCs w:val="22"/>
        </w:rPr>
        <w:t xml:space="preserve"> has a strong culture of professional review and development which includes ensuring employees receive a rate of pay that reflects the role they undertake with the college.  This is underpinned by the C</w:t>
      </w:r>
      <w:r w:rsidR="00362DF7">
        <w:rPr>
          <w:rFonts w:ascii="Garamond" w:hAnsi="Garamond" w:cstheme="minorBidi"/>
          <w:i/>
          <w:iCs/>
          <w:color w:val="2D2F43"/>
          <w:szCs w:val="22"/>
        </w:rPr>
        <w:t>harity</w:t>
      </w:r>
      <w:r w:rsidRPr="00B269F0" w:rsidR="001E36C6">
        <w:rPr>
          <w:rFonts w:ascii="Garamond" w:hAnsi="Garamond" w:cstheme="minorBidi"/>
          <w:i/>
          <w:iCs/>
          <w:color w:val="2D2F43"/>
          <w:szCs w:val="22"/>
        </w:rPr>
        <w:t>’s equal opportunities policy which states that the C</w:t>
      </w:r>
      <w:r w:rsidR="00362DF7">
        <w:rPr>
          <w:rFonts w:ascii="Garamond" w:hAnsi="Garamond" w:cstheme="minorBidi"/>
          <w:i/>
          <w:iCs/>
          <w:color w:val="2D2F43"/>
          <w:szCs w:val="22"/>
        </w:rPr>
        <w:t>harity</w:t>
      </w:r>
      <w:r w:rsidRPr="00B269F0" w:rsidR="001E36C6">
        <w:rPr>
          <w:rFonts w:ascii="Garamond" w:hAnsi="Garamond" w:cstheme="minorBidi"/>
          <w:i/>
          <w:iCs/>
          <w:color w:val="2D2F43"/>
          <w:szCs w:val="22"/>
        </w:rPr>
        <w:t xml:space="preserve"> will not discriminate on the grounds of sex, marital status, civil partnership status, race, ethnic origin, colour, trans-gender status, sexual orientation, religion or belief, nationality, national origins, disability or age. The policy applies to the process of recruitment and selection, promotion, training, conditions of work, pay and benefits and to every other aspect of employment</w:t>
      </w:r>
      <w:r w:rsidR="004221FB">
        <w:rPr>
          <w:rFonts w:ascii="Garamond" w:hAnsi="Garamond" w:cstheme="minorBidi"/>
          <w:i/>
          <w:iCs/>
          <w:color w:val="2D2F43"/>
          <w:szCs w:val="22"/>
        </w:rPr>
        <w:t>.</w:t>
      </w:r>
    </w:p>
    <w:p w:rsidRPr="00B269F0" w:rsidR="001E36C6" w:rsidP="001E36C6" w:rsidRDefault="001E36C6" w14:paraId="17C72004" w14:textId="77777777">
      <w:pPr>
        <w:rPr>
          <w:i/>
          <w:iCs/>
          <w:color w:val="2D2F43"/>
        </w:rPr>
      </w:pPr>
    </w:p>
    <w:p w:rsidRPr="00B269F0" w:rsidR="001E36C6" w:rsidP="001E36C6" w:rsidRDefault="001E36C6" w14:paraId="4D2403B5" w14:textId="7E021675">
      <w:pPr>
        <w:rPr>
          <w:i/>
          <w:iCs/>
          <w:color w:val="2D2F43"/>
        </w:rPr>
      </w:pPr>
      <w:r w:rsidRPr="00B269F0">
        <w:rPr>
          <w:i/>
          <w:iCs/>
          <w:color w:val="2D2F43"/>
        </w:rPr>
        <w:t>We regularly benchmark pay for operational staff, to ensure they receive a fair rate of pay for the roles, and that they fall in line with pay for similar roles within the local workforce. We undertake an annual review of the salary bandings for teaching staff, to ensure their pay reflects the responsibilities they have undertaken.</w:t>
      </w:r>
    </w:p>
    <w:p w:rsidRPr="00B269F0" w:rsidR="001E36C6" w:rsidP="001E36C6" w:rsidRDefault="001E36C6" w14:paraId="79AF10D1" w14:textId="77777777">
      <w:pPr>
        <w:rPr>
          <w:i/>
          <w:iCs/>
          <w:color w:val="2D2F43"/>
        </w:rPr>
      </w:pPr>
    </w:p>
    <w:p w:rsidRPr="00B269F0" w:rsidR="001E36C6" w:rsidP="001E36C6" w:rsidRDefault="00575256" w14:paraId="4C250881" w14:textId="37F855A9">
      <w:pPr>
        <w:rPr>
          <w:i/>
          <w:iCs/>
          <w:color w:val="2D2F43"/>
        </w:rPr>
      </w:pPr>
      <w:r>
        <w:rPr>
          <w:i/>
          <w:iCs/>
          <w:color w:val="2D2F43"/>
        </w:rPr>
        <w:t>Th</w:t>
      </w:r>
      <w:r w:rsidRPr="00B269F0" w:rsidR="001E36C6">
        <w:rPr>
          <w:i/>
          <w:iCs/>
          <w:color w:val="2D2F43"/>
        </w:rPr>
        <w:t>e statistics reflect the high percentage of domestic</w:t>
      </w:r>
      <w:r w:rsidRPr="00B269F0" w:rsidR="00D429C4">
        <w:rPr>
          <w:i/>
          <w:iCs/>
          <w:color w:val="2D2F43"/>
        </w:rPr>
        <w:t>, catering and other operational</w:t>
      </w:r>
      <w:r w:rsidRPr="00B269F0" w:rsidR="001E36C6">
        <w:rPr>
          <w:i/>
          <w:iCs/>
          <w:color w:val="2D2F43"/>
        </w:rPr>
        <w:t xml:space="preserve"> staff who are females, working part-time/term-time only. </w:t>
      </w:r>
    </w:p>
    <w:p w:rsidR="001E36C6" w:rsidP="001E36C6" w:rsidRDefault="001E36C6" w14:paraId="43C409F7" w14:textId="77777777">
      <w:pPr>
        <w:rPr>
          <w:color w:val="2D2F43"/>
        </w:rPr>
      </w:pPr>
    </w:p>
    <w:p w:rsidR="0000078A" w:rsidP="001E36C6" w:rsidRDefault="0000078A" w14:paraId="1DAF6D13" w14:textId="77777777">
      <w:pPr>
        <w:rPr>
          <w:i/>
          <w:color w:val="2D2F43"/>
        </w:rPr>
      </w:pPr>
    </w:p>
    <w:p w:rsidR="0000078A" w:rsidP="001E36C6" w:rsidRDefault="0000078A" w14:paraId="65E992F3" w14:textId="77777777">
      <w:pPr>
        <w:rPr>
          <w:i/>
          <w:color w:val="2D2F43"/>
        </w:rPr>
      </w:pPr>
    </w:p>
    <w:p w:rsidR="0000078A" w:rsidP="001E36C6" w:rsidRDefault="0000078A" w14:paraId="30B81580" w14:textId="77777777">
      <w:pPr>
        <w:rPr>
          <w:i/>
          <w:color w:val="2D2F43"/>
        </w:rPr>
      </w:pPr>
    </w:p>
    <w:p w:rsidRPr="00DB26E1" w:rsidR="001E36C6" w:rsidP="001E36C6" w:rsidRDefault="001E36C6" w14:paraId="52BF1F0C" w14:textId="4CB75802">
      <w:pPr>
        <w:rPr>
          <w:i/>
          <w:color w:val="2D2F43"/>
        </w:rPr>
      </w:pPr>
      <w:r>
        <w:rPr>
          <w:i/>
          <w:color w:val="2D2F43"/>
        </w:rPr>
        <w:t>Confirmation</w:t>
      </w:r>
    </w:p>
    <w:p w:rsidRPr="00C21F20" w:rsidR="001E36C6" w:rsidP="001E36C6" w:rsidRDefault="001E36C6" w14:paraId="0916F2CB" w14:textId="77777777">
      <w:pPr>
        <w:rPr>
          <w:color w:val="2D2F43"/>
        </w:rPr>
      </w:pPr>
    </w:p>
    <w:p w:rsidRPr="00C21F20" w:rsidR="001E36C6" w:rsidP="001E36C6" w:rsidRDefault="001E36C6" w14:paraId="506D0AA5" w14:textId="4DDE36C7">
      <w:pPr>
        <w:rPr>
          <w:color w:val="2D2F43"/>
        </w:rPr>
      </w:pPr>
      <w:r w:rsidRPr="00C21F20">
        <w:rPr>
          <w:color w:val="2D2F43"/>
        </w:rPr>
        <w:t>I confirm that the calculations are a true and accurate reflection of our position on 5</w:t>
      </w:r>
      <w:r w:rsidRPr="00C21F20">
        <w:rPr>
          <w:color w:val="2D2F43"/>
          <w:vertAlign w:val="superscript"/>
        </w:rPr>
        <w:t>th</w:t>
      </w:r>
      <w:r>
        <w:rPr>
          <w:color w:val="2D2F43"/>
        </w:rPr>
        <w:t xml:space="preserve"> April 202</w:t>
      </w:r>
      <w:r w:rsidR="001D0B24">
        <w:rPr>
          <w:color w:val="2D2F43"/>
        </w:rPr>
        <w:t>4</w:t>
      </w:r>
      <w:r w:rsidRPr="00C21F20">
        <w:rPr>
          <w:color w:val="2D2F43"/>
        </w:rPr>
        <w:t>.</w:t>
      </w:r>
    </w:p>
    <w:p w:rsidRPr="001B5596" w:rsidR="00297A70" w:rsidP="001E36C6" w:rsidRDefault="00297A70" w14:paraId="65CAC9B7" w14:textId="77777777">
      <w:pPr>
        <w:rPr>
          <w:highlight w:val="yellow"/>
        </w:rPr>
      </w:pPr>
    </w:p>
    <w:p w:rsidRPr="001E36C6" w:rsidR="00C21F20" w:rsidRDefault="001D0B24" w14:paraId="05DACA4C" w14:textId="32F4D1B7">
      <w:pPr>
        <w:rPr>
          <w:i/>
        </w:rPr>
      </w:pPr>
      <w:r>
        <w:rPr>
          <w:i/>
        </w:rPr>
        <w:t>P Sinclair</w:t>
      </w:r>
      <w:r w:rsidR="00297A70">
        <w:rPr>
          <w:i/>
        </w:rPr>
        <w:t xml:space="preserve"> </w:t>
      </w:r>
      <w:r w:rsidR="00297A70">
        <w:rPr>
          <w:i/>
        </w:rPr>
        <w:tab/>
      </w:r>
      <w:r w:rsidR="00297A70">
        <w:rPr>
          <w:i/>
        </w:rPr>
        <w:t>Group</w:t>
      </w:r>
      <w:r w:rsidRPr="00297A70" w:rsidR="00E7021D">
        <w:rPr>
          <w:i/>
        </w:rPr>
        <w:t xml:space="preserve"> </w:t>
      </w:r>
      <w:r w:rsidRPr="00297A70" w:rsidR="001E36C6">
        <w:rPr>
          <w:i/>
        </w:rPr>
        <w:t>Financ</w:t>
      </w:r>
      <w:r w:rsidRPr="00297A70" w:rsidR="00297A70">
        <w:rPr>
          <w:i/>
        </w:rPr>
        <w:t>e Director</w:t>
      </w:r>
    </w:p>
    <w:sectPr w:rsidRPr="001E36C6" w:rsidR="00C21F20" w:rsidSect="005B1BCF">
      <w:footerReference w:type="default" r:id="rId11"/>
      <w:pgSz w:w="11906" w:h="16838" w:orient="portrait"/>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1C2E" w:rsidP="008D3DB8" w:rsidRDefault="00E81C2E" w14:paraId="722F618F" w14:textId="77777777">
      <w:r>
        <w:separator/>
      </w:r>
    </w:p>
  </w:endnote>
  <w:endnote w:type="continuationSeparator" w:id="0">
    <w:p w:rsidR="00E81C2E" w:rsidP="008D3DB8" w:rsidRDefault="00E81C2E" w14:paraId="0F5AB23B" w14:textId="77777777">
      <w:r>
        <w:continuationSeparator/>
      </w:r>
    </w:p>
  </w:endnote>
  <w:endnote w:type="continuationNotice" w:id="1">
    <w:p w:rsidR="00E81C2E" w:rsidRDefault="00E81C2E" w14:paraId="748392C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Cambria"/>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374861"/>
      <w:docPartObj>
        <w:docPartGallery w:val="Page Numbers (Bottom of Page)"/>
        <w:docPartUnique/>
      </w:docPartObj>
    </w:sdtPr>
    <w:sdtEndPr>
      <w:rPr>
        <w:color w:val="7F7F7F" w:themeColor="background1" w:themeShade="7F"/>
        <w:spacing w:val="60"/>
      </w:rPr>
    </w:sdtEndPr>
    <w:sdtContent>
      <w:p w:rsidR="00C21F20" w:rsidRDefault="00C21F20" w14:paraId="152D6473" w14:textId="77777777">
        <w:pPr>
          <w:pStyle w:val="Footer"/>
          <w:pBdr>
            <w:top w:val="single" w:color="D9D9D9" w:themeColor="background1" w:themeShade="D9" w:sz="4" w:space="1"/>
          </w:pBdr>
          <w:jc w:val="right"/>
        </w:pPr>
        <w:r>
          <w:fldChar w:fldCharType="begin"/>
        </w:r>
        <w:r>
          <w:instrText xml:space="preserve"> PAGE   \* MERGEFORMAT </w:instrText>
        </w:r>
        <w:r>
          <w:fldChar w:fldCharType="separate"/>
        </w:r>
        <w:r w:rsidR="00040F53">
          <w:rPr>
            <w:noProof/>
          </w:rPr>
          <w:t>3</w:t>
        </w:r>
        <w:r>
          <w:rPr>
            <w:noProof/>
          </w:rPr>
          <w:fldChar w:fldCharType="end"/>
        </w:r>
        <w:r>
          <w:t xml:space="preserve"> | </w:t>
        </w:r>
        <w:r>
          <w:rPr>
            <w:color w:val="7F7F7F" w:themeColor="background1" w:themeShade="7F"/>
            <w:spacing w:val="60"/>
          </w:rPr>
          <w:t>Page</w:t>
        </w:r>
      </w:p>
    </w:sdtContent>
  </w:sdt>
  <w:p w:rsidRPr="00256DE8" w:rsidR="00C21F20" w:rsidP="008F53E5" w:rsidRDefault="00C21F20" w14:paraId="09734EB9" w14:textId="77777777">
    <w:pPr>
      <w:pStyle w:val="Footer"/>
      <w:jc w:val="cente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1C2E" w:rsidP="008D3DB8" w:rsidRDefault="00E81C2E" w14:paraId="3F72D1EB" w14:textId="77777777">
      <w:r>
        <w:separator/>
      </w:r>
    </w:p>
  </w:footnote>
  <w:footnote w:type="continuationSeparator" w:id="0">
    <w:p w:rsidR="00E81C2E" w:rsidP="008D3DB8" w:rsidRDefault="00E81C2E" w14:paraId="1F39F52F" w14:textId="77777777">
      <w:r>
        <w:continuationSeparator/>
      </w:r>
    </w:p>
  </w:footnote>
  <w:footnote w:type="continuationNotice" w:id="1">
    <w:p w:rsidR="00E81C2E" w:rsidRDefault="00E81C2E" w14:paraId="7B8D973E" w14:textId="77777777"/>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B8"/>
    <w:rsid w:val="0000078A"/>
    <w:rsid w:val="00033378"/>
    <w:rsid w:val="00035187"/>
    <w:rsid w:val="00040F53"/>
    <w:rsid w:val="00046369"/>
    <w:rsid w:val="00047198"/>
    <w:rsid w:val="00074051"/>
    <w:rsid w:val="00077773"/>
    <w:rsid w:val="0008432D"/>
    <w:rsid w:val="000C5EA5"/>
    <w:rsid w:val="000C5F8C"/>
    <w:rsid w:val="000F0F18"/>
    <w:rsid w:val="000F2590"/>
    <w:rsid w:val="001059B3"/>
    <w:rsid w:val="00117617"/>
    <w:rsid w:val="00124E9E"/>
    <w:rsid w:val="001256F3"/>
    <w:rsid w:val="001671B1"/>
    <w:rsid w:val="00186CA8"/>
    <w:rsid w:val="00192AF6"/>
    <w:rsid w:val="00195560"/>
    <w:rsid w:val="00196113"/>
    <w:rsid w:val="001B5596"/>
    <w:rsid w:val="001C7B93"/>
    <w:rsid w:val="001D0B24"/>
    <w:rsid w:val="001E36C6"/>
    <w:rsid w:val="001E5D00"/>
    <w:rsid w:val="001E7956"/>
    <w:rsid w:val="001F5EEC"/>
    <w:rsid w:val="001F660F"/>
    <w:rsid w:val="00201058"/>
    <w:rsid w:val="00201543"/>
    <w:rsid w:val="00212AD7"/>
    <w:rsid w:val="002149CD"/>
    <w:rsid w:val="00222D85"/>
    <w:rsid w:val="00242574"/>
    <w:rsid w:val="002505FF"/>
    <w:rsid w:val="00256DE8"/>
    <w:rsid w:val="00276CEF"/>
    <w:rsid w:val="002815BF"/>
    <w:rsid w:val="00282154"/>
    <w:rsid w:val="002951C5"/>
    <w:rsid w:val="00297A70"/>
    <w:rsid w:val="002A7E4E"/>
    <w:rsid w:val="002A7EC4"/>
    <w:rsid w:val="002D1E7F"/>
    <w:rsid w:val="002D6990"/>
    <w:rsid w:val="002D72D6"/>
    <w:rsid w:val="002F6F28"/>
    <w:rsid w:val="00306E78"/>
    <w:rsid w:val="003113FF"/>
    <w:rsid w:val="00311CBE"/>
    <w:rsid w:val="003143E2"/>
    <w:rsid w:val="00346440"/>
    <w:rsid w:val="00352280"/>
    <w:rsid w:val="00362DF7"/>
    <w:rsid w:val="00373C4A"/>
    <w:rsid w:val="00384BCD"/>
    <w:rsid w:val="0039164B"/>
    <w:rsid w:val="00397476"/>
    <w:rsid w:val="003A1138"/>
    <w:rsid w:val="00406ABD"/>
    <w:rsid w:val="00417859"/>
    <w:rsid w:val="004221FB"/>
    <w:rsid w:val="0043608A"/>
    <w:rsid w:val="00452D72"/>
    <w:rsid w:val="004803F9"/>
    <w:rsid w:val="00483263"/>
    <w:rsid w:val="004A11FF"/>
    <w:rsid w:val="004E0B04"/>
    <w:rsid w:val="004F0B14"/>
    <w:rsid w:val="00517153"/>
    <w:rsid w:val="00522C7D"/>
    <w:rsid w:val="00533379"/>
    <w:rsid w:val="005428E6"/>
    <w:rsid w:val="005628DC"/>
    <w:rsid w:val="00575256"/>
    <w:rsid w:val="0059791C"/>
    <w:rsid w:val="005A708D"/>
    <w:rsid w:val="005B1BCF"/>
    <w:rsid w:val="005B6FA1"/>
    <w:rsid w:val="005B7DD7"/>
    <w:rsid w:val="005C1513"/>
    <w:rsid w:val="005C69C3"/>
    <w:rsid w:val="005D24A9"/>
    <w:rsid w:val="005D66A1"/>
    <w:rsid w:val="005D7088"/>
    <w:rsid w:val="005E021A"/>
    <w:rsid w:val="005E1CA3"/>
    <w:rsid w:val="00644C82"/>
    <w:rsid w:val="00645104"/>
    <w:rsid w:val="0067741D"/>
    <w:rsid w:val="006B412F"/>
    <w:rsid w:val="006F627D"/>
    <w:rsid w:val="00711EF5"/>
    <w:rsid w:val="00746976"/>
    <w:rsid w:val="0075709A"/>
    <w:rsid w:val="00777575"/>
    <w:rsid w:val="0078494A"/>
    <w:rsid w:val="007A1410"/>
    <w:rsid w:val="007A52FB"/>
    <w:rsid w:val="007A6F5A"/>
    <w:rsid w:val="007B4179"/>
    <w:rsid w:val="007C318D"/>
    <w:rsid w:val="007C42DA"/>
    <w:rsid w:val="007E7AD7"/>
    <w:rsid w:val="007F3725"/>
    <w:rsid w:val="0080450F"/>
    <w:rsid w:val="00805935"/>
    <w:rsid w:val="00813D48"/>
    <w:rsid w:val="00825094"/>
    <w:rsid w:val="00826A78"/>
    <w:rsid w:val="008374EF"/>
    <w:rsid w:val="00854DAD"/>
    <w:rsid w:val="00877E70"/>
    <w:rsid w:val="00895BC7"/>
    <w:rsid w:val="00897354"/>
    <w:rsid w:val="008B2605"/>
    <w:rsid w:val="008B6100"/>
    <w:rsid w:val="008C707E"/>
    <w:rsid w:val="008D3DB8"/>
    <w:rsid w:val="008F26FE"/>
    <w:rsid w:val="008F53E5"/>
    <w:rsid w:val="00906D27"/>
    <w:rsid w:val="00911496"/>
    <w:rsid w:val="009132A3"/>
    <w:rsid w:val="009525B2"/>
    <w:rsid w:val="00966428"/>
    <w:rsid w:val="00972CC3"/>
    <w:rsid w:val="009825A6"/>
    <w:rsid w:val="00992311"/>
    <w:rsid w:val="009A714B"/>
    <w:rsid w:val="009A7879"/>
    <w:rsid w:val="009B6BD4"/>
    <w:rsid w:val="009C1295"/>
    <w:rsid w:val="009C7F5F"/>
    <w:rsid w:val="009D3840"/>
    <w:rsid w:val="009E73B2"/>
    <w:rsid w:val="009F480B"/>
    <w:rsid w:val="00A021E1"/>
    <w:rsid w:val="00A72D0F"/>
    <w:rsid w:val="00A773BA"/>
    <w:rsid w:val="00A8174A"/>
    <w:rsid w:val="00A8283C"/>
    <w:rsid w:val="00AB755A"/>
    <w:rsid w:val="00AC024A"/>
    <w:rsid w:val="00AC6E98"/>
    <w:rsid w:val="00AD33C5"/>
    <w:rsid w:val="00B01D70"/>
    <w:rsid w:val="00B04EF1"/>
    <w:rsid w:val="00B058C4"/>
    <w:rsid w:val="00B13A10"/>
    <w:rsid w:val="00B269F0"/>
    <w:rsid w:val="00B31876"/>
    <w:rsid w:val="00B476F6"/>
    <w:rsid w:val="00B5094D"/>
    <w:rsid w:val="00B91ECB"/>
    <w:rsid w:val="00B94FFD"/>
    <w:rsid w:val="00BA42D3"/>
    <w:rsid w:val="00BB77B2"/>
    <w:rsid w:val="00BC735B"/>
    <w:rsid w:val="00BE6B37"/>
    <w:rsid w:val="00BE7E8F"/>
    <w:rsid w:val="00BF536B"/>
    <w:rsid w:val="00C0010B"/>
    <w:rsid w:val="00C1351D"/>
    <w:rsid w:val="00C16DBF"/>
    <w:rsid w:val="00C21F20"/>
    <w:rsid w:val="00C34294"/>
    <w:rsid w:val="00C50688"/>
    <w:rsid w:val="00C50927"/>
    <w:rsid w:val="00C70E7F"/>
    <w:rsid w:val="00C76E23"/>
    <w:rsid w:val="00C93775"/>
    <w:rsid w:val="00CB5E94"/>
    <w:rsid w:val="00CB5FEE"/>
    <w:rsid w:val="00CC6BD7"/>
    <w:rsid w:val="00CF15DF"/>
    <w:rsid w:val="00CF5A57"/>
    <w:rsid w:val="00D104DA"/>
    <w:rsid w:val="00D429C4"/>
    <w:rsid w:val="00D575AD"/>
    <w:rsid w:val="00D722F6"/>
    <w:rsid w:val="00D77CFB"/>
    <w:rsid w:val="00D8049C"/>
    <w:rsid w:val="00D87FA2"/>
    <w:rsid w:val="00DA30C8"/>
    <w:rsid w:val="00DB26E1"/>
    <w:rsid w:val="00DC78D1"/>
    <w:rsid w:val="00DC7964"/>
    <w:rsid w:val="00DD18D4"/>
    <w:rsid w:val="00DE05F3"/>
    <w:rsid w:val="00DE2030"/>
    <w:rsid w:val="00DF7D8A"/>
    <w:rsid w:val="00E002E1"/>
    <w:rsid w:val="00E032DC"/>
    <w:rsid w:val="00E15A16"/>
    <w:rsid w:val="00E22036"/>
    <w:rsid w:val="00E23130"/>
    <w:rsid w:val="00E2744C"/>
    <w:rsid w:val="00E30039"/>
    <w:rsid w:val="00E446A6"/>
    <w:rsid w:val="00E44A12"/>
    <w:rsid w:val="00E47527"/>
    <w:rsid w:val="00E51214"/>
    <w:rsid w:val="00E64D0D"/>
    <w:rsid w:val="00E665DA"/>
    <w:rsid w:val="00E7021D"/>
    <w:rsid w:val="00E70546"/>
    <w:rsid w:val="00E81C2E"/>
    <w:rsid w:val="00E847EA"/>
    <w:rsid w:val="00E9699B"/>
    <w:rsid w:val="00EB576B"/>
    <w:rsid w:val="00EC19A1"/>
    <w:rsid w:val="00EE14D9"/>
    <w:rsid w:val="00EE6CE1"/>
    <w:rsid w:val="00F21D49"/>
    <w:rsid w:val="00F37F66"/>
    <w:rsid w:val="00F40177"/>
    <w:rsid w:val="00F41FBA"/>
    <w:rsid w:val="00F550D4"/>
    <w:rsid w:val="00F6186F"/>
    <w:rsid w:val="00F73303"/>
    <w:rsid w:val="00F777AB"/>
    <w:rsid w:val="00F801C1"/>
    <w:rsid w:val="00F82082"/>
    <w:rsid w:val="00F845B0"/>
    <w:rsid w:val="00F92C90"/>
    <w:rsid w:val="00FB3E66"/>
    <w:rsid w:val="00FC02F2"/>
    <w:rsid w:val="00FC3ED6"/>
    <w:rsid w:val="00FE1B26"/>
    <w:rsid w:val="00FE587D"/>
    <w:rsid w:val="00FE58F8"/>
    <w:rsid w:val="485BB8C7"/>
    <w:rsid w:val="54B4EB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E1538"/>
  <w15:chartTrackingRefBased/>
  <w15:docId w15:val="{6BFBC58F-68D3-4669-9D57-73E5BD0C1A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Garamond" w:hAnsi="Garamond" w:eastAsia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D3DB8"/>
    <w:pPr>
      <w:tabs>
        <w:tab w:val="center" w:pos="4513"/>
        <w:tab w:val="right" w:pos="9026"/>
      </w:tabs>
    </w:pPr>
  </w:style>
  <w:style w:type="character" w:styleId="HeaderChar" w:customStyle="1">
    <w:name w:val="Header Char"/>
    <w:basedOn w:val="DefaultParagraphFont"/>
    <w:link w:val="Header"/>
    <w:uiPriority w:val="99"/>
    <w:rsid w:val="008D3DB8"/>
  </w:style>
  <w:style w:type="paragraph" w:styleId="Footer">
    <w:name w:val="footer"/>
    <w:basedOn w:val="Normal"/>
    <w:link w:val="FooterChar"/>
    <w:uiPriority w:val="99"/>
    <w:unhideWhenUsed/>
    <w:rsid w:val="008D3DB8"/>
    <w:pPr>
      <w:tabs>
        <w:tab w:val="center" w:pos="4513"/>
        <w:tab w:val="right" w:pos="9026"/>
      </w:tabs>
    </w:pPr>
  </w:style>
  <w:style w:type="character" w:styleId="FooterChar" w:customStyle="1">
    <w:name w:val="Footer Char"/>
    <w:basedOn w:val="DefaultParagraphFont"/>
    <w:link w:val="Footer"/>
    <w:uiPriority w:val="99"/>
    <w:rsid w:val="008D3DB8"/>
  </w:style>
  <w:style w:type="character" w:styleId="Hyperlink">
    <w:name w:val="Hyperlink"/>
    <w:basedOn w:val="DefaultParagraphFont"/>
    <w:uiPriority w:val="99"/>
    <w:unhideWhenUsed/>
    <w:rsid w:val="008F53E5"/>
    <w:rPr>
      <w:color w:val="0563C1" w:themeColor="hyperlink"/>
      <w:u w:val="single"/>
    </w:rPr>
  </w:style>
  <w:style w:type="table" w:styleId="TableGrid">
    <w:name w:val="Table Grid"/>
    <w:basedOn w:val="TableNormal"/>
    <w:uiPriority w:val="39"/>
    <w:rsid w:val="002425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A72D0F"/>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Default" w:customStyle="1">
    <w:name w:val="Default"/>
    <w:rsid w:val="00A8283C"/>
    <w:pPr>
      <w:autoSpaceDE w:val="0"/>
      <w:autoSpaceDN w:val="0"/>
      <w:adjustRightInd w:val="0"/>
    </w:pPr>
    <w:rPr>
      <w:rFonts w:ascii="Gill Sans MT" w:hAnsi="Gill Sans MT" w:cs="Gill Sans MT"/>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dobe Garamond Pro"/>
        <a:ea typeface=""/>
        <a:cs typeface=""/>
      </a:majorFont>
      <a:minorFont>
        <a:latin typeface="Adobe Garamon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288d93-d70e-4218-9d0e-f84b66c3c6be">
      <Terms xmlns="http://schemas.microsoft.com/office/infopath/2007/PartnerControls"/>
    </lcf76f155ced4ddcb4097134ff3c332f>
    <TaxCatchAll xmlns="fd34a87c-cd5c-4e11-95d6-bd2245deb229" xsi:nil="true"/>
    <SharedWithUsers xmlns="fd34a87c-cd5c-4e11-95d6-bd2245deb229">
      <UserInfo>
        <DisplayName>LINE, Jemma</DisplayName>
        <AccountId>52</AccountId>
        <AccountType/>
      </UserInfo>
      <UserInfo>
        <DisplayName>GAVIGAN, Kimberley</DisplayName>
        <AccountId>165</AccountId>
        <AccountType/>
      </UserInfo>
      <UserInfo>
        <DisplayName>FRANKLIN, Penny</DisplayName>
        <AccountId>25</AccountId>
        <AccountType/>
      </UserInfo>
      <UserInfo>
        <DisplayName>IT Helpdesk</DisplayName>
        <AccountId>328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14D574783E79478CFE8234148F1EFA" ma:contentTypeVersion="13" ma:contentTypeDescription="Create a new document." ma:contentTypeScope="" ma:versionID="7997e518fc356b621bafaf4b7e9348e8">
  <xsd:schema xmlns:xsd="http://www.w3.org/2001/XMLSchema" xmlns:xs="http://www.w3.org/2001/XMLSchema" xmlns:p="http://schemas.microsoft.com/office/2006/metadata/properties" xmlns:ns2="0b288d93-d70e-4218-9d0e-f84b66c3c6be" xmlns:ns3="fd34a87c-cd5c-4e11-95d6-bd2245deb229" targetNamespace="http://schemas.microsoft.com/office/2006/metadata/properties" ma:root="true" ma:fieldsID="f28ac7bf6b134c306cede4a981e298f3" ns2:_="" ns3:_="">
    <xsd:import namespace="0b288d93-d70e-4218-9d0e-f84b66c3c6be"/>
    <xsd:import namespace="fd34a87c-cd5c-4e11-95d6-bd2245deb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88d93-d70e-4218-9d0e-f84b66c3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fe2ab5-4001-4e5e-ae61-cfc1485d6a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34a87c-cd5c-4e11-95d6-bd2245deb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9d5aab-e28e-4f37-965f-5f2b770eaf6c}" ma:internalName="TaxCatchAll" ma:showField="CatchAllData" ma:web="fd34a87c-cd5c-4e11-95d6-bd2245deb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E9589-53B9-4049-A452-CB94D1D76BC6}">
  <ds:schemaRefs>
    <ds:schemaRef ds:uri="http://schemas.microsoft.com/office/2006/metadata/properties"/>
    <ds:schemaRef ds:uri="http://schemas.microsoft.com/office/infopath/2007/PartnerControls"/>
    <ds:schemaRef ds:uri="0b288d93-d70e-4218-9d0e-f84b66c3c6be"/>
    <ds:schemaRef ds:uri="fd34a87c-cd5c-4e11-95d6-bd2245deb229"/>
  </ds:schemaRefs>
</ds:datastoreItem>
</file>

<file path=customXml/itemProps2.xml><?xml version="1.0" encoding="utf-8"?>
<ds:datastoreItem xmlns:ds="http://schemas.openxmlformats.org/officeDocument/2006/customXml" ds:itemID="{2ABD8D3E-EB25-4FC0-A8D1-45631A72B55A}">
  <ds:schemaRefs>
    <ds:schemaRef ds:uri="http://schemas.microsoft.com/sharepoint/v3/contenttype/forms"/>
  </ds:schemaRefs>
</ds:datastoreItem>
</file>

<file path=customXml/itemProps3.xml><?xml version="1.0" encoding="utf-8"?>
<ds:datastoreItem xmlns:ds="http://schemas.openxmlformats.org/officeDocument/2006/customXml" ds:itemID="{D5D85AF4-955B-4DCE-9ADA-11DAF28B2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88d93-d70e-4218-9d0e-f84b66c3c6be"/>
    <ds:schemaRef ds:uri="fd34a87c-cd5c-4e11-95d6-bd2245deb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2901D-A69B-4F8E-AE87-68BEDED11A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Bradfield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swallace</dc:creator>
  <keywords/>
  <dc:description/>
  <lastModifiedBy>SINCLAIR, Patrick</lastModifiedBy>
  <revision>97</revision>
  <lastPrinted>2025-03-13T09:29:00.0000000Z</lastPrinted>
  <dcterms:created xsi:type="dcterms:W3CDTF">2024-02-27T07:56:00.0000000Z</dcterms:created>
  <dcterms:modified xsi:type="dcterms:W3CDTF">2025-03-13T12:14:54.2885514Z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0x0101007614D574783E79478CFE8234148F1EFA</vt:lpwstr>
  </property>
  <property fmtid="{D5CDD505-2E9C-101B-9397-08002B2CF9AE}" pid="3" name="MediaServiceImageTags">
    <vt:lpwstr/>
  </property>
</Properties>
</file>